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6DDA5" w14:textId="6F0F2885" w:rsidR="00F6694B" w:rsidRDefault="00F6694B" w:rsidP="00D559A3">
      <w:pPr>
        <w:tabs>
          <w:tab w:val="left" w:pos="5060"/>
        </w:tabs>
        <w:spacing w:after="0"/>
        <w:jc w:val="center"/>
        <w:rPr>
          <w:b/>
        </w:rPr>
      </w:pPr>
      <w:r w:rsidRPr="0046149D">
        <w:rPr>
          <w:b/>
        </w:rPr>
        <w:t>C</w:t>
      </w:r>
      <w:r w:rsidR="00D559A3">
        <w:rPr>
          <w:b/>
        </w:rPr>
        <w:t xml:space="preserve">ertified </w:t>
      </w:r>
      <w:r w:rsidRPr="0046149D">
        <w:rPr>
          <w:b/>
        </w:rPr>
        <w:t>U</w:t>
      </w:r>
      <w:r w:rsidR="00D559A3">
        <w:rPr>
          <w:b/>
        </w:rPr>
        <w:t xml:space="preserve">rgent </w:t>
      </w:r>
      <w:r w:rsidRPr="0046149D">
        <w:rPr>
          <w:b/>
        </w:rPr>
        <w:t>C</w:t>
      </w:r>
      <w:r w:rsidR="00D559A3">
        <w:rPr>
          <w:b/>
        </w:rPr>
        <w:t xml:space="preserve">are </w:t>
      </w:r>
      <w:r w:rsidRPr="0046149D">
        <w:rPr>
          <w:b/>
        </w:rPr>
        <w:t>M</w:t>
      </w:r>
      <w:r w:rsidR="00D559A3">
        <w:rPr>
          <w:b/>
        </w:rPr>
        <w:t xml:space="preserve">anagement </w:t>
      </w:r>
      <w:r w:rsidRPr="0046149D">
        <w:rPr>
          <w:b/>
        </w:rPr>
        <w:t>P</w:t>
      </w:r>
      <w:r w:rsidR="00D559A3">
        <w:rPr>
          <w:b/>
        </w:rPr>
        <w:t>rofessional (CUCMP)</w:t>
      </w:r>
      <w:r w:rsidRPr="0046149D">
        <w:rPr>
          <w:b/>
        </w:rPr>
        <w:t xml:space="preserve"> CURRICULUM </w:t>
      </w:r>
    </w:p>
    <w:p w14:paraId="1D01C734" w14:textId="77777777" w:rsidR="0046149D" w:rsidRPr="0046149D" w:rsidRDefault="0046149D" w:rsidP="0046149D">
      <w:pPr>
        <w:tabs>
          <w:tab w:val="left" w:pos="5060"/>
        </w:tabs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4"/>
        <w:gridCol w:w="631"/>
      </w:tblGrid>
      <w:tr w:rsidR="003E3EAC" w14:paraId="0E4B6D66" w14:textId="77777777" w:rsidTr="00D559A3">
        <w:tc>
          <w:tcPr>
            <w:tcW w:w="9445" w:type="dxa"/>
            <w:gridSpan w:val="2"/>
            <w:shd w:val="clear" w:color="auto" w:fill="A8D08D" w:themeFill="accent6" w:themeFillTint="99"/>
          </w:tcPr>
          <w:p w14:paraId="6843DB92" w14:textId="7419541B" w:rsidR="003E3EAC" w:rsidRDefault="003E3EAC" w:rsidP="00D559A3">
            <w:bookmarkStart w:id="0" w:name="_Hlk500172337"/>
          </w:p>
        </w:tc>
      </w:tr>
      <w:tr w:rsidR="00D559A3" w14:paraId="36DCE200" w14:textId="77777777" w:rsidTr="00D559A3">
        <w:tc>
          <w:tcPr>
            <w:tcW w:w="8814" w:type="dxa"/>
            <w:shd w:val="clear" w:color="auto" w:fill="A8D08D" w:themeFill="accent6" w:themeFillTint="99"/>
          </w:tcPr>
          <w:p w14:paraId="7EB0911B" w14:textId="0ABC951C" w:rsidR="00D559A3" w:rsidRDefault="00D559A3" w:rsidP="00D559A3">
            <w:r w:rsidRPr="00D559A3">
              <w:rPr>
                <w:b/>
              </w:rPr>
              <w:t>DOMAIN:  GENERAL OPERATIONS</w:t>
            </w:r>
          </w:p>
        </w:tc>
        <w:tc>
          <w:tcPr>
            <w:tcW w:w="631" w:type="dxa"/>
            <w:shd w:val="clear" w:color="auto" w:fill="A8D08D" w:themeFill="accent6" w:themeFillTint="99"/>
          </w:tcPr>
          <w:p w14:paraId="56BBBBB5" w14:textId="77777777" w:rsidR="00D559A3" w:rsidRDefault="00D559A3" w:rsidP="00D31283">
            <w:pPr>
              <w:jc w:val="center"/>
            </w:pPr>
            <w:r>
              <w:t>HRS.</w:t>
            </w:r>
          </w:p>
        </w:tc>
      </w:tr>
      <w:tr w:rsidR="00D559A3" w14:paraId="562C2AC5" w14:textId="77777777" w:rsidTr="008400C7">
        <w:tc>
          <w:tcPr>
            <w:tcW w:w="8814" w:type="dxa"/>
          </w:tcPr>
          <w:p w14:paraId="52D6E860" w14:textId="77777777" w:rsidR="00D559A3" w:rsidRDefault="00D559A3">
            <w:r>
              <w:t>Overview of the On-demand healthcare industry</w:t>
            </w:r>
          </w:p>
        </w:tc>
        <w:tc>
          <w:tcPr>
            <w:tcW w:w="631" w:type="dxa"/>
          </w:tcPr>
          <w:p w14:paraId="199D8491" w14:textId="77777777" w:rsidR="00D559A3" w:rsidRDefault="00D559A3">
            <w:r>
              <w:t>1.0</w:t>
            </w:r>
          </w:p>
        </w:tc>
      </w:tr>
      <w:tr w:rsidR="00D559A3" w14:paraId="77C95A6F" w14:textId="77777777" w:rsidTr="008400C7">
        <w:tc>
          <w:tcPr>
            <w:tcW w:w="8814" w:type="dxa"/>
          </w:tcPr>
          <w:p w14:paraId="77719A82" w14:textId="77777777" w:rsidR="00D559A3" w:rsidRDefault="00D559A3">
            <w:r>
              <w:t>The Operationally Excellent Organization—Best Practices in the Industry</w:t>
            </w:r>
          </w:p>
        </w:tc>
        <w:tc>
          <w:tcPr>
            <w:tcW w:w="631" w:type="dxa"/>
          </w:tcPr>
          <w:p w14:paraId="5C41705A" w14:textId="77777777" w:rsidR="00D559A3" w:rsidRDefault="00D559A3">
            <w:r>
              <w:t>1.5</w:t>
            </w:r>
          </w:p>
        </w:tc>
      </w:tr>
      <w:tr w:rsidR="00D559A3" w14:paraId="547C3ADD" w14:textId="77777777" w:rsidTr="008400C7">
        <w:tc>
          <w:tcPr>
            <w:tcW w:w="8814" w:type="dxa"/>
          </w:tcPr>
          <w:p w14:paraId="029F574E" w14:textId="77777777" w:rsidR="00D559A3" w:rsidRDefault="00D559A3">
            <w:r>
              <w:t>Dashboarding Operational Performance, including potential response to +/- trends</w:t>
            </w:r>
          </w:p>
        </w:tc>
        <w:tc>
          <w:tcPr>
            <w:tcW w:w="631" w:type="dxa"/>
          </w:tcPr>
          <w:p w14:paraId="35E4EBEE" w14:textId="77777777" w:rsidR="00D559A3" w:rsidRDefault="00D559A3">
            <w:r>
              <w:t>1.0</w:t>
            </w:r>
          </w:p>
        </w:tc>
      </w:tr>
      <w:tr w:rsidR="00D559A3" w14:paraId="6ECEBF9A" w14:textId="77777777" w:rsidTr="008400C7">
        <w:tc>
          <w:tcPr>
            <w:tcW w:w="8814" w:type="dxa"/>
          </w:tcPr>
          <w:p w14:paraId="3CEB01F5" w14:textId="77777777" w:rsidR="00D559A3" w:rsidRDefault="00D559A3">
            <w:r>
              <w:t>The Loyal Patient—The Patient Experience &amp; Service Excellence</w:t>
            </w:r>
          </w:p>
        </w:tc>
        <w:tc>
          <w:tcPr>
            <w:tcW w:w="631" w:type="dxa"/>
          </w:tcPr>
          <w:p w14:paraId="1EB6ED65" w14:textId="77777777" w:rsidR="00D559A3" w:rsidRDefault="00D559A3">
            <w:r>
              <w:t>1.5</w:t>
            </w:r>
          </w:p>
        </w:tc>
      </w:tr>
      <w:tr w:rsidR="00D559A3" w14:paraId="60FB86AF" w14:textId="77777777" w:rsidTr="008400C7">
        <w:tc>
          <w:tcPr>
            <w:tcW w:w="8814" w:type="dxa"/>
          </w:tcPr>
          <w:p w14:paraId="0C9957D5" w14:textId="081CB79B" w:rsidR="00D559A3" w:rsidRDefault="00D559A3">
            <w:r w:rsidRPr="00D559A3">
              <w:t>Project Management-tools and resources</w:t>
            </w:r>
            <w:r w:rsidR="00793CD7">
              <w:t xml:space="preserve"> as well as team leadership and owning the project </w:t>
            </w:r>
          </w:p>
        </w:tc>
        <w:tc>
          <w:tcPr>
            <w:tcW w:w="631" w:type="dxa"/>
          </w:tcPr>
          <w:p w14:paraId="71CB349B" w14:textId="77777777" w:rsidR="00D559A3" w:rsidRDefault="00D559A3">
            <w:r>
              <w:t>1.0</w:t>
            </w:r>
          </w:p>
        </w:tc>
      </w:tr>
      <w:tr w:rsidR="00AF57B4" w14:paraId="1AC86D8E" w14:textId="77777777" w:rsidTr="00893BE9">
        <w:tc>
          <w:tcPr>
            <w:tcW w:w="8814" w:type="dxa"/>
          </w:tcPr>
          <w:p w14:paraId="169FC268" w14:textId="77777777" w:rsidR="00AF57B4" w:rsidRDefault="00AF57B4" w:rsidP="00893BE9">
            <w:r w:rsidRPr="00D559A3">
              <w:t>Project Management-tools and resources</w:t>
            </w:r>
            <w:r>
              <w:t xml:space="preserve"> as well as team leadership and owning the project </w:t>
            </w:r>
          </w:p>
        </w:tc>
        <w:tc>
          <w:tcPr>
            <w:tcW w:w="631" w:type="dxa"/>
          </w:tcPr>
          <w:p w14:paraId="09F1C2BC" w14:textId="77777777" w:rsidR="00AF57B4" w:rsidRDefault="00AF57B4" w:rsidP="00893BE9">
            <w:r>
              <w:t>1.0</w:t>
            </w:r>
          </w:p>
        </w:tc>
      </w:tr>
      <w:tr w:rsidR="00D559A3" w14:paraId="64EB478E" w14:textId="77777777" w:rsidTr="008400C7">
        <w:tc>
          <w:tcPr>
            <w:tcW w:w="8814" w:type="dxa"/>
          </w:tcPr>
          <w:p w14:paraId="2C6AC3AA" w14:textId="2E7EC640" w:rsidR="00D559A3" w:rsidRDefault="00D559A3" w:rsidP="00793CD7">
            <w:pPr>
              <w:tabs>
                <w:tab w:val="left" w:pos="2916"/>
              </w:tabs>
            </w:pPr>
            <w:r>
              <w:t>Governance Considerations</w:t>
            </w:r>
            <w:r w:rsidR="006245CD">
              <w:t xml:space="preserve">- </w:t>
            </w:r>
            <w:r w:rsidR="00793CD7">
              <w:t>Structure, Roles you need to have in place to receive government money (Medicare)</w:t>
            </w:r>
          </w:p>
        </w:tc>
        <w:tc>
          <w:tcPr>
            <w:tcW w:w="631" w:type="dxa"/>
          </w:tcPr>
          <w:p w14:paraId="16E1244E" w14:textId="77777777" w:rsidR="00D559A3" w:rsidRDefault="00D559A3">
            <w:r>
              <w:t xml:space="preserve">1.0 </w:t>
            </w:r>
          </w:p>
        </w:tc>
      </w:tr>
      <w:tr w:rsidR="00D559A3" w14:paraId="25501F81" w14:textId="77777777" w:rsidTr="008400C7">
        <w:tc>
          <w:tcPr>
            <w:tcW w:w="8814" w:type="dxa"/>
          </w:tcPr>
          <w:p w14:paraId="3124F99D" w14:textId="77777777" w:rsidR="00D559A3" w:rsidRDefault="00D559A3">
            <w:r>
              <w:t>Marketing &amp; Sales—Industry Best Practices and Innovations (includes social media)</w:t>
            </w:r>
          </w:p>
        </w:tc>
        <w:tc>
          <w:tcPr>
            <w:tcW w:w="631" w:type="dxa"/>
          </w:tcPr>
          <w:p w14:paraId="7288CC81" w14:textId="77777777" w:rsidR="00D559A3" w:rsidRDefault="00D559A3">
            <w:r>
              <w:t>2.0</w:t>
            </w:r>
          </w:p>
        </w:tc>
      </w:tr>
      <w:tr w:rsidR="00D559A3" w14:paraId="7B26D1B9" w14:textId="77777777" w:rsidTr="008400C7">
        <w:tc>
          <w:tcPr>
            <w:tcW w:w="8814" w:type="dxa"/>
          </w:tcPr>
          <w:p w14:paraId="0DD54B58" w14:textId="508861B6" w:rsidR="00D559A3" w:rsidRDefault="00D559A3">
            <w:r>
              <w:t>Technology in the Operationally Excellent &amp; Service Oriented Urgent Care Practice</w:t>
            </w:r>
            <w:r w:rsidR="00793CD7">
              <w:t>- From Patient Acquisition, EMRs and integrating all of your systems</w:t>
            </w:r>
          </w:p>
        </w:tc>
        <w:tc>
          <w:tcPr>
            <w:tcW w:w="631" w:type="dxa"/>
          </w:tcPr>
          <w:p w14:paraId="4AB81A47" w14:textId="77777777" w:rsidR="00D559A3" w:rsidRDefault="00D559A3">
            <w:r>
              <w:t>1.0</w:t>
            </w:r>
          </w:p>
        </w:tc>
      </w:tr>
      <w:tr w:rsidR="00AF57B4" w14:paraId="3AE9EDBB" w14:textId="77777777" w:rsidTr="008400C7">
        <w:tc>
          <w:tcPr>
            <w:tcW w:w="8814" w:type="dxa"/>
          </w:tcPr>
          <w:p w14:paraId="1B4898A0" w14:textId="4AF174B5" w:rsidR="00AF57B4" w:rsidRDefault="00AF57B4">
            <w:r w:rsidRPr="00D559A3">
              <w:t xml:space="preserve">Advocacy:  Payers, Regulatory, State/Federal Involvement + Tools </w:t>
            </w:r>
          </w:p>
        </w:tc>
        <w:tc>
          <w:tcPr>
            <w:tcW w:w="631" w:type="dxa"/>
          </w:tcPr>
          <w:p w14:paraId="4B13F3B0" w14:textId="77777777" w:rsidR="00AF57B4" w:rsidRDefault="00AF57B4">
            <w:r>
              <w:t>1.0</w:t>
            </w:r>
          </w:p>
        </w:tc>
      </w:tr>
      <w:tr w:rsidR="00D559A3" w14:paraId="4C0ADC44" w14:textId="77777777" w:rsidTr="008400C7">
        <w:tc>
          <w:tcPr>
            <w:tcW w:w="8814" w:type="dxa"/>
          </w:tcPr>
          <w:p w14:paraId="3B51E0CC" w14:textId="77777777" w:rsidR="00D559A3" w:rsidRDefault="00D559A3">
            <w:r>
              <w:t>Telemedicine:  Overview, legal considerations, implementation into the UC practice</w:t>
            </w:r>
          </w:p>
        </w:tc>
        <w:tc>
          <w:tcPr>
            <w:tcW w:w="631" w:type="dxa"/>
          </w:tcPr>
          <w:p w14:paraId="4F29BEFC" w14:textId="77777777" w:rsidR="00D559A3" w:rsidRDefault="00D559A3">
            <w:r>
              <w:t>1.5</w:t>
            </w:r>
          </w:p>
        </w:tc>
      </w:tr>
      <w:tr w:rsidR="00D559A3" w14:paraId="591CC539" w14:textId="77777777" w:rsidTr="008400C7">
        <w:tc>
          <w:tcPr>
            <w:tcW w:w="8814" w:type="dxa"/>
          </w:tcPr>
          <w:p w14:paraId="57B10A3F" w14:textId="653046E5" w:rsidR="00D559A3" w:rsidRDefault="00D559A3">
            <w:r>
              <w:t>Contracts (Non-payer)</w:t>
            </w:r>
            <w:r w:rsidR="00793CD7">
              <w:t xml:space="preserve"> – What needs to be in your contracts </w:t>
            </w:r>
          </w:p>
        </w:tc>
        <w:tc>
          <w:tcPr>
            <w:tcW w:w="631" w:type="dxa"/>
          </w:tcPr>
          <w:p w14:paraId="3DE30228" w14:textId="77777777" w:rsidR="00D559A3" w:rsidRDefault="00D559A3">
            <w:r>
              <w:t>1.0</w:t>
            </w:r>
          </w:p>
        </w:tc>
      </w:tr>
      <w:tr w:rsidR="00D559A3" w14:paraId="7D2FFADC" w14:textId="77777777" w:rsidTr="00D559A3">
        <w:tc>
          <w:tcPr>
            <w:tcW w:w="8814" w:type="dxa"/>
            <w:shd w:val="clear" w:color="auto" w:fill="A8D08D" w:themeFill="accent6" w:themeFillTint="99"/>
          </w:tcPr>
          <w:p w14:paraId="771E2EAB" w14:textId="0954C21C" w:rsidR="00D559A3" w:rsidRPr="00D559A3" w:rsidRDefault="00D559A3" w:rsidP="00D559A3">
            <w:pPr>
              <w:rPr>
                <w:b/>
              </w:rPr>
            </w:pPr>
            <w:bookmarkStart w:id="1" w:name="_Hlk500174476"/>
            <w:bookmarkEnd w:id="0"/>
            <w:r w:rsidRPr="00D559A3">
              <w:rPr>
                <w:b/>
              </w:rPr>
              <w:t>DOMAIN: COMPLIANCE</w:t>
            </w:r>
          </w:p>
        </w:tc>
        <w:tc>
          <w:tcPr>
            <w:tcW w:w="631" w:type="dxa"/>
            <w:shd w:val="clear" w:color="auto" w:fill="A8D08D" w:themeFill="accent6" w:themeFillTint="99"/>
          </w:tcPr>
          <w:p w14:paraId="5BF14F94" w14:textId="77777777" w:rsidR="00D559A3" w:rsidRDefault="00D559A3" w:rsidP="00232178">
            <w:pPr>
              <w:jc w:val="center"/>
            </w:pPr>
            <w:r>
              <w:t>HRS.</w:t>
            </w:r>
          </w:p>
        </w:tc>
      </w:tr>
      <w:tr w:rsidR="00D559A3" w14:paraId="35D72151" w14:textId="77777777" w:rsidTr="001B4BB1">
        <w:tc>
          <w:tcPr>
            <w:tcW w:w="8814" w:type="dxa"/>
          </w:tcPr>
          <w:p w14:paraId="34B7C687" w14:textId="77777777" w:rsidR="00D559A3" w:rsidRDefault="00D559A3" w:rsidP="00232178">
            <w:r>
              <w:t>Regulatory Compliance, The Compliance Program (including 7 elements) &amp; Internal Auditing Procedures</w:t>
            </w:r>
          </w:p>
        </w:tc>
        <w:tc>
          <w:tcPr>
            <w:tcW w:w="631" w:type="dxa"/>
          </w:tcPr>
          <w:p w14:paraId="09480595" w14:textId="77777777" w:rsidR="00D559A3" w:rsidRDefault="00D559A3" w:rsidP="00232178">
            <w:r>
              <w:t>2.5</w:t>
            </w:r>
          </w:p>
        </w:tc>
      </w:tr>
      <w:tr w:rsidR="00D559A3" w14:paraId="52659547" w14:textId="77777777" w:rsidTr="001B4BB1">
        <w:tc>
          <w:tcPr>
            <w:tcW w:w="8814" w:type="dxa"/>
          </w:tcPr>
          <w:p w14:paraId="1925E07E" w14:textId="77777777" w:rsidR="00D559A3" w:rsidRDefault="00D559A3" w:rsidP="00232178">
            <w:r>
              <w:t>HIPAA Privacy &amp; Security—Advanced Considerations, Training and Oversight</w:t>
            </w:r>
          </w:p>
        </w:tc>
        <w:tc>
          <w:tcPr>
            <w:tcW w:w="631" w:type="dxa"/>
          </w:tcPr>
          <w:p w14:paraId="5D2200DD" w14:textId="77777777" w:rsidR="00D559A3" w:rsidRDefault="00D559A3" w:rsidP="00232178">
            <w:r>
              <w:t>1.5</w:t>
            </w:r>
          </w:p>
        </w:tc>
      </w:tr>
      <w:tr w:rsidR="00D559A3" w14:paraId="6AD32456" w14:textId="77777777" w:rsidTr="001B4BB1">
        <w:tc>
          <w:tcPr>
            <w:tcW w:w="8814" w:type="dxa"/>
          </w:tcPr>
          <w:p w14:paraId="1E1CAE25" w14:textId="77777777" w:rsidR="00D559A3" w:rsidRDefault="00D559A3" w:rsidP="00232178">
            <w:r>
              <w:t>Laboratory Compliance &amp; Oversight (CLIA Waived, Moderate, COLA)</w:t>
            </w:r>
          </w:p>
        </w:tc>
        <w:tc>
          <w:tcPr>
            <w:tcW w:w="631" w:type="dxa"/>
          </w:tcPr>
          <w:p w14:paraId="4D5183C1" w14:textId="77777777" w:rsidR="00D559A3" w:rsidRDefault="00D559A3" w:rsidP="00232178">
            <w:r>
              <w:t>2.0</w:t>
            </w:r>
          </w:p>
        </w:tc>
      </w:tr>
      <w:tr w:rsidR="00D559A3" w14:paraId="3EC4A064" w14:textId="77777777" w:rsidTr="001B4BB1">
        <w:tc>
          <w:tcPr>
            <w:tcW w:w="8814" w:type="dxa"/>
          </w:tcPr>
          <w:p w14:paraId="4125E29D" w14:textId="77777777" w:rsidR="00D559A3" w:rsidRDefault="00D559A3" w:rsidP="00232178">
            <w:r>
              <w:t>Radiology Compliance—state nuances, radiology boards, staff credentials, licensing</w:t>
            </w:r>
          </w:p>
        </w:tc>
        <w:tc>
          <w:tcPr>
            <w:tcW w:w="631" w:type="dxa"/>
          </w:tcPr>
          <w:p w14:paraId="6573861D" w14:textId="77777777" w:rsidR="00D559A3" w:rsidRDefault="00D559A3" w:rsidP="00232178">
            <w:r>
              <w:t>1.0</w:t>
            </w:r>
          </w:p>
        </w:tc>
      </w:tr>
      <w:tr w:rsidR="00D559A3" w14:paraId="49A6B0F9" w14:textId="77777777" w:rsidTr="001B4BB1">
        <w:tc>
          <w:tcPr>
            <w:tcW w:w="8814" w:type="dxa"/>
          </w:tcPr>
          <w:p w14:paraId="1849F0ED" w14:textId="77777777" w:rsidR="00D559A3" w:rsidRDefault="00D559A3" w:rsidP="00232178">
            <w:r>
              <w:t>Alphabet Soup—CON, CPM, MSAs, DEA and other regulatory issues (e.g., anti-trust)</w:t>
            </w:r>
          </w:p>
        </w:tc>
        <w:tc>
          <w:tcPr>
            <w:tcW w:w="631" w:type="dxa"/>
          </w:tcPr>
          <w:p w14:paraId="67AC6A58" w14:textId="77777777" w:rsidR="00D559A3" w:rsidRDefault="00D559A3" w:rsidP="00232178">
            <w:r>
              <w:t>1.0</w:t>
            </w:r>
          </w:p>
        </w:tc>
      </w:tr>
      <w:bookmarkEnd w:id="1"/>
    </w:tbl>
    <w:p w14:paraId="3CCF079F" w14:textId="77777777" w:rsidR="0046149D" w:rsidRDefault="0046149D" w:rsidP="00D3128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4"/>
        <w:gridCol w:w="631"/>
      </w:tblGrid>
      <w:tr w:rsidR="00D559A3" w14:paraId="1A8A3820" w14:textId="77777777" w:rsidTr="00D559A3">
        <w:tc>
          <w:tcPr>
            <w:tcW w:w="8814" w:type="dxa"/>
            <w:shd w:val="clear" w:color="auto" w:fill="A8D08D" w:themeFill="accent6" w:themeFillTint="99"/>
          </w:tcPr>
          <w:p w14:paraId="475E2C6E" w14:textId="3FCEA757" w:rsidR="00D559A3" w:rsidRPr="00D559A3" w:rsidRDefault="00D559A3" w:rsidP="00D559A3">
            <w:pPr>
              <w:rPr>
                <w:b/>
              </w:rPr>
            </w:pPr>
            <w:r w:rsidRPr="00D559A3">
              <w:rPr>
                <w:b/>
              </w:rPr>
              <w:t>DOMAIN: HUMAN RESOURCES</w:t>
            </w:r>
          </w:p>
        </w:tc>
        <w:tc>
          <w:tcPr>
            <w:tcW w:w="631" w:type="dxa"/>
            <w:shd w:val="clear" w:color="auto" w:fill="A8D08D" w:themeFill="accent6" w:themeFillTint="99"/>
          </w:tcPr>
          <w:p w14:paraId="02DB6536" w14:textId="77777777" w:rsidR="00D559A3" w:rsidRDefault="00D559A3" w:rsidP="00232178">
            <w:pPr>
              <w:jc w:val="center"/>
            </w:pPr>
            <w:r>
              <w:t>HRS.</w:t>
            </w:r>
          </w:p>
        </w:tc>
      </w:tr>
      <w:tr w:rsidR="00D559A3" w14:paraId="02E1E86B" w14:textId="77777777" w:rsidTr="00232178">
        <w:tc>
          <w:tcPr>
            <w:tcW w:w="8814" w:type="dxa"/>
          </w:tcPr>
          <w:p w14:paraId="4397EEEE" w14:textId="77777777" w:rsidR="00D559A3" w:rsidRDefault="00D559A3" w:rsidP="00232178">
            <w:r>
              <w:t>Regulatory Compliance in Human Resource Oversight (I-9, confidentiality, FMLA, exempt versus non-exempt employees, DOL oversight, overtime, workers comp, unemployment benefits, wrongful termination, use of independent contractors, drug screening, etc.)</w:t>
            </w:r>
          </w:p>
        </w:tc>
        <w:tc>
          <w:tcPr>
            <w:tcW w:w="631" w:type="dxa"/>
          </w:tcPr>
          <w:p w14:paraId="36B5E8FE" w14:textId="77777777" w:rsidR="00D559A3" w:rsidRDefault="00D559A3" w:rsidP="00232178">
            <w:r>
              <w:t>2.0</w:t>
            </w:r>
          </w:p>
        </w:tc>
      </w:tr>
      <w:tr w:rsidR="00D559A3" w14:paraId="0CDD4DCD" w14:textId="77777777" w:rsidTr="00232178">
        <w:tc>
          <w:tcPr>
            <w:tcW w:w="8814" w:type="dxa"/>
          </w:tcPr>
          <w:p w14:paraId="2F9E0C11" w14:textId="77777777" w:rsidR="00D559A3" w:rsidRDefault="00D559A3" w:rsidP="00232178">
            <w:r>
              <w:t>Employee/ Provider onboarding, orientation, competencies, probationary periods, mandatory training, developing and implementing job descriptions and employee handbooks</w:t>
            </w:r>
          </w:p>
        </w:tc>
        <w:tc>
          <w:tcPr>
            <w:tcW w:w="631" w:type="dxa"/>
          </w:tcPr>
          <w:p w14:paraId="5D41AEAF" w14:textId="77777777" w:rsidR="00D559A3" w:rsidRDefault="00D559A3" w:rsidP="00232178">
            <w:r>
              <w:t>2.0</w:t>
            </w:r>
          </w:p>
        </w:tc>
      </w:tr>
      <w:tr w:rsidR="00D559A3" w14:paraId="75A9F091" w14:textId="77777777" w:rsidTr="00232178">
        <w:tc>
          <w:tcPr>
            <w:tcW w:w="8814" w:type="dxa"/>
          </w:tcPr>
          <w:p w14:paraId="20FE7104" w14:textId="77777777" w:rsidR="00D559A3" w:rsidRDefault="00D559A3" w:rsidP="00232178">
            <w:r>
              <w:lastRenderedPageBreak/>
              <w:t>Provider credentialing &amp; privileging</w:t>
            </w:r>
          </w:p>
        </w:tc>
        <w:tc>
          <w:tcPr>
            <w:tcW w:w="631" w:type="dxa"/>
          </w:tcPr>
          <w:p w14:paraId="5C425B20" w14:textId="77777777" w:rsidR="00D559A3" w:rsidRDefault="00D559A3" w:rsidP="00232178">
            <w:r>
              <w:t>1.0</w:t>
            </w:r>
          </w:p>
        </w:tc>
      </w:tr>
      <w:tr w:rsidR="00D559A3" w14:paraId="5398D9C7" w14:textId="77777777" w:rsidTr="00232178">
        <w:tc>
          <w:tcPr>
            <w:tcW w:w="8814" w:type="dxa"/>
          </w:tcPr>
          <w:p w14:paraId="137ED1C8" w14:textId="77777777" w:rsidR="00D559A3" w:rsidRPr="00D559A3" w:rsidRDefault="00D559A3" w:rsidP="00232178">
            <w:r w:rsidRPr="00D559A3">
              <w:t>Choosing the best staffing model for your services—industry options, modeling costs, optimizing productivity</w:t>
            </w:r>
          </w:p>
        </w:tc>
        <w:tc>
          <w:tcPr>
            <w:tcW w:w="631" w:type="dxa"/>
          </w:tcPr>
          <w:p w14:paraId="034296BD" w14:textId="77777777" w:rsidR="00D559A3" w:rsidRDefault="00D559A3" w:rsidP="00232178">
            <w:r>
              <w:t>1.0</w:t>
            </w:r>
          </w:p>
        </w:tc>
      </w:tr>
      <w:tr w:rsidR="00D559A3" w14:paraId="4DF9458E" w14:textId="77777777" w:rsidTr="00232178">
        <w:tc>
          <w:tcPr>
            <w:tcW w:w="8814" w:type="dxa"/>
          </w:tcPr>
          <w:p w14:paraId="29E78DF2" w14:textId="77777777" w:rsidR="00D559A3" w:rsidRPr="00D559A3" w:rsidRDefault="00D559A3" w:rsidP="00232178">
            <w:r w:rsidRPr="00D559A3">
              <w:t xml:space="preserve"> Becoming the Employer of Choice for the Employees of Choice (benefits, feedback and rewards, performance improvement, succession planning, culture, retention strategies)</w:t>
            </w:r>
          </w:p>
        </w:tc>
        <w:tc>
          <w:tcPr>
            <w:tcW w:w="631" w:type="dxa"/>
          </w:tcPr>
          <w:p w14:paraId="333D50E9" w14:textId="77777777" w:rsidR="00D559A3" w:rsidRDefault="00D559A3" w:rsidP="00232178">
            <w:r>
              <w:t>1.0</w:t>
            </w:r>
          </w:p>
        </w:tc>
      </w:tr>
    </w:tbl>
    <w:p w14:paraId="6EEE2A7B" w14:textId="77777777" w:rsidR="005F3B51" w:rsidRDefault="005F3B51" w:rsidP="00D3128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4"/>
        <w:gridCol w:w="631"/>
      </w:tblGrid>
      <w:tr w:rsidR="00D559A3" w14:paraId="0C0C5994" w14:textId="77777777" w:rsidTr="00D559A3">
        <w:tc>
          <w:tcPr>
            <w:tcW w:w="8814" w:type="dxa"/>
            <w:shd w:val="clear" w:color="auto" w:fill="A8D08D" w:themeFill="accent6" w:themeFillTint="99"/>
          </w:tcPr>
          <w:p w14:paraId="66772A3C" w14:textId="4A8E6547" w:rsidR="00D559A3" w:rsidRDefault="00D559A3" w:rsidP="00D559A3">
            <w:r w:rsidRPr="00D559A3">
              <w:rPr>
                <w:b/>
              </w:rPr>
              <w:t>DOMAIN: FINANCE</w:t>
            </w:r>
          </w:p>
        </w:tc>
        <w:tc>
          <w:tcPr>
            <w:tcW w:w="631" w:type="dxa"/>
            <w:shd w:val="clear" w:color="auto" w:fill="A8D08D" w:themeFill="accent6" w:themeFillTint="99"/>
          </w:tcPr>
          <w:p w14:paraId="049C2794" w14:textId="77777777" w:rsidR="00D559A3" w:rsidRDefault="00D559A3" w:rsidP="00232178">
            <w:pPr>
              <w:jc w:val="center"/>
            </w:pPr>
            <w:r>
              <w:t>HRS.</w:t>
            </w:r>
          </w:p>
        </w:tc>
      </w:tr>
      <w:tr w:rsidR="00D559A3" w14:paraId="2C68A53D" w14:textId="77777777" w:rsidTr="00232178">
        <w:tc>
          <w:tcPr>
            <w:tcW w:w="8814" w:type="dxa"/>
          </w:tcPr>
          <w:p w14:paraId="50D52C46" w14:textId="77777777" w:rsidR="00D559A3" w:rsidRDefault="00D559A3" w:rsidP="00232178">
            <w:r>
              <w:t>The Budget Process—evaluating the past and building for the future</w:t>
            </w:r>
          </w:p>
        </w:tc>
        <w:tc>
          <w:tcPr>
            <w:tcW w:w="631" w:type="dxa"/>
          </w:tcPr>
          <w:p w14:paraId="1D106B66" w14:textId="77777777" w:rsidR="00D559A3" w:rsidRDefault="00D559A3" w:rsidP="00232178">
            <w:r>
              <w:t>1.5</w:t>
            </w:r>
          </w:p>
        </w:tc>
      </w:tr>
      <w:tr w:rsidR="00D559A3" w14:paraId="6E6A4596" w14:textId="77777777" w:rsidTr="00232178">
        <w:tc>
          <w:tcPr>
            <w:tcW w:w="8814" w:type="dxa"/>
          </w:tcPr>
          <w:p w14:paraId="4597F1D9" w14:textId="77777777" w:rsidR="00D559A3" w:rsidRDefault="00D559A3" w:rsidP="00232178">
            <w:r>
              <w:t>P&amp;L + Balance Sheet; what they mean and how they are key tools for a successful business (includes financial metrics, accrual versus cash accounting, cash projection basics)—Consider breaking this into two parts</w:t>
            </w:r>
          </w:p>
        </w:tc>
        <w:tc>
          <w:tcPr>
            <w:tcW w:w="631" w:type="dxa"/>
          </w:tcPr>
          <w:p w14:paraId="7125DFC1" w14:textId="77777777" w:rsidR="00D559A3" w:rsidRDefault="00D559A3" w:rsidP="00232178">
            <w:r>
              <w:t>2.5</w:t>
            </w:r>
          </w:p>
        </w:tc>
      </w:tr>
      <w:tr w:rsidR="00D559A3" w14:paraId="237DDBFE" w14:textId="77777777" w:rsidTr="00232178">
        <w:tc>
          <w:tcPr>
            <w:tcW w:w="8814" w:type="dxa"/>
          </w:tcPr>
          <w:p w14:paraId="7DFC9056" w14:textId="77777777" w:rsidR="00D559A3" w:rsidRDefault="00D559A3" w:rsidP="00232178">
            <w:r>
              <w:t>Financial Modeling for a New Product/ Service (evaluating risks and rewards)</w:t>
            </w:r>
          </w:p>
        </w:tc>
        <w:tc>
          <w:tcPr>
            <w:tcW w:w="631" w:type="dxa"/>
          </w:tcPr>
          <w:p w14:paraId="5D3A3564" w14:textId="77777777" w:rsidR="00D559A3" w:rsidRDefault="00D559A3" w:rsidP="00232178">
            <w:r>
              <w:t>1.0</w:t>
            </w:r>
          </w:p>
        </w:tc>
      </w:tr>
      <w:tr w:rsidR="00D559A3" w14:paraId="202E52DD" w14:textId="77777777" w:rsidTr="00232178">
        <w:tc>
          <w:tcPr>
            <w:tcW w:w="8814" w:type="dxa"/>
          </w:tcPr>
          <w:p w14:paraId="2E6D5C91" w14:textId="77777777" w:rsidR="00D559A3" w:rsidRDefault="00D559A3" w:rsidP="00232178">
            <w:r>
              <w:t>Protecting the Practice—Internal Controls and Other Safeguards</w:t>
            </w:r>
          </w:p>
        </w:tc>
        <w:tc>
          <w:tcPr>
            <w:tcW w:w="631" w:type="dxa"/>
          </w:tcPr>
          <w:p w14:paraId="3484F07B" w14:textId="77777777" w:rsidR="00D559A3" w:rsidRDefault="00D559A3" w:rsidP="00232178">
            <w:r>
              <w:t>1.0</w:t>
            </w:r>
          </w:p>
        </w:tc>
      </w:tr>
    </w:tbl>
    <w:p w14:paraId="2C2DAD5F" w14:textId="77777777" w:rsidR="00FA56D3" w:rsidRDefault="00FA56D3" w:rsidP="00D3128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4"/>
        <w:gridCol w:w="631"/>
      </w:tblGrid>
      <w:tr w:rsidR="005F0993" w14:paraId="13EF2E89" w14:textId="77777777" w:rsidTr="005F0993">
        <w:tc>
          <w:tcPr>
            <w:tcW w:w="8814" w:type="dxa"/>
            <w:shd w:val="clear" w:color="auto" w:fill="A8D08D" w:themeFill="accent6" w:themeFillTint="99"/>
          </w:tcPr>
          <w:p w14:paraId="61883E0F" w14:textId="521C9B71" w:rsidR="005F0993" w:rsidRPr="005F0993" w:rsidRDefault="005F0993" w:rsidP="005F0993">
            <w:pPr>
              <w:rPr>
                <w:b/>
              </w:rPr>
            </w:pPr>
            <w:r w:rsidRPr="005F0993">
              <w:rPr>
                <w:b/>
              </w:rPr>
              <w:t xml:space="preserve">DOMAIN: DEVELOPMENT </w:t>
            </w:r>
          </w:p>
        </w:tc>
        <w:tc>
          <w:tcPr>
            <w:tcW w:w="631" w:type="dxa"/>
            <w:shd w:val="clear" w:color="auto" w:fill="A8D08D" w:themeFill="accent6" w:themeFillTint="99"/>
          </w:tcPr>
          <w:p w14:paraId="42C1A1B0" w14:textId="77777777" w:rsidR="005F0993" w:rsidRDefault="005F0993" w:rsidP="00232178">
            <w:pPr>
              <w:jc w:val="center"/>
            </w:pPr>
            <w:r>
              <w:t>HRS.</w:t>
            </w:r>
          </w:p>
        </w:tc>
      </w:tr>
      <w:tr w:rsidR="005F0993" w14:paraId="2A8FFB5E" w14:textId="77777777" w:rsidTr="00232178">
        <w:tc>
          <w:tcPr>
            <w:tcW w:w="8814" w:type="dxa"/>
          </w:tcPr>
          <w:p w14:paraId="59D90BEB" w14:textId="29E708B0" w:rsidR="005F0993" w:rsidRDefault="005F0993" w:rsidP="00232178">
            <w:r w:rsidRPr="00D559A3">
              <w:t xml:space="preserve">Development Overview—Mergers, Acquisitions, Co-branding arrangements, partnerships (hospital, PHO) , organic versus non-organic growth options </w:t>
            </w:r>
          </w:p>
        </w:tc>
        <w:tc>
          <w:tcPr>
            <w:tcW w:w="631" w:type="dxa"/>
          </w:tcPr>
          <w:p w14:paraId="76AB2184" w14:textId="77777777" w:rsidR="005F0993" w:rsidRDefault="005F0993" w:rsidP="00232178">
            <w:r>
              <w:t>2.0</w:t>
            </w:r>
          </w:p>
        </w:tc>
      </w:tr>
    </w:tbl>
    <w:p w14:paraId="248A37CC" w14:textId="77777777" w:rsidR="0046149D" w:rsidRDefault="0046149D" w:rsidP="00D3128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4"/>
        <w:gridCol w:w="631"/>
      </w:tblGrid>
      <w:tr w:rsidR="005F0993" w14:paraId="747761BA" w14:textId="77777777" w:rsidTr="005F0993">
        <w:tc>
          <w:tcPr>
            <w:tcW w:w="8814" w:type="dxa"/>
            <w:shd w:val="clear" w:color="auto" w:fill="A8D08D" w:themeFill="accent6" w:themeFillTint="99"/>
          </w:tcPr>
          <w:p w14:paraId="2B806825" w14:textId="5C576E44" w:rsidR="005F0993" w:rsidRPr="005F0993" w:rsidRDefault="005F0993" w:rsidP="005F0993">
            <w:pPr>
              <w:rPr>
                <w:b/>
              </w:rPr>
            </w:pPr>
            <w:r w:rsidRPr="005F0993">
              <w:rPr>
                <w:b/>
              </w:rPr>
              <w:t>DOMAIN: REVENUE CYCLE</w:t>
            </w:r>
          </w:p>
        </w:tc>
        <w:tc>
          <w:tcPr>
            <w:tcW w:w="631" w:type="dxa"/>
            <w:shd w:val="clear" w:color="auto" w:fill="A8D08D" w:themeFill="accent6" w:themeFillTint="99"/>
          </w:tcPr>
          <w:p w14:paraId="78281719" w14:textId="77777777" w:rsidR="005F0993" w:rsidRDefault="005F0993" w:rsidP="00232178">
            <w:pPr>
              <w:jc w:val="center"/>
            </w:pPr>
            <w:r>
              <w:t>HRS.</w:t>
            </w:r>
          </w:p>
        </w:tc>
      </w:tr>
      <w:tr w:rsidR="005F0993" w14:paraId="29981B10" w14:textId="77777777" w:rsidTr="00232178">
        <w:tc>
          <w:tcPr>
            <w:tcW w:w="8814" w:type="dxa"/>
          </w:tcPr>
          <w:p w14:paraId="22ED0D0A" w14:textId="77777777" w:rsidR="005F0993" w:rsidRDefault="005F0993" w:rsidP="00232178">
            <w:r>
              <w:t>It Starts with the Contract—Payer Contracting, Re-contracting; pricing considerations—global, FFS, place of service selection, implementing new contracts, timelines</w:t>
            </w:r>
          </w:p>
        </w:tc>
        <w:tc>
          <w:tcPr>
            <w:tcW w:w="631" w:type="dxa"/>
          </w:tcPr>
          <w:p w14:paraId="7B1A04D5" w14:textId="77777777" w:rsidR="005F0993" w:rsidRDefault="005F0993" w:rsidP="00232178">
            <w:r>
              <w:t>2.0</w:t>
            </w:r>
          </w:p>
        </w:tc>
      </w:tr>
      <w:tr w:rsidR="005F0993" w14:paraId="274DCA0F" w14:textId="77777777" w:rsidTr="00232178">
        <w:tc>
          <w:tcPr>
            <w:tcW w:w="8814" w:type="dxa"/>
          </w:tcPr>
          <w:p w14:paraId="4B52F57A" w14:textId="77777777" w:rsidR="005F0993" w:rsidRDefault="005F0993" w:rsidP="00232178">
            <w:r>
              <w:t>Provider Credentialing—Payer contracting versus HR related credentialing</w:t>
            </w:r>
          </w:p>
        </w:tc>
        <w:tc>
          <w:tcPr>
            <w:tcW w:w="631" w:type="dxa"/>
          </w:tcPr>
          <w:p w14:paraId="48A019CB" w14:textId="77777777" w:rsidR="005F0993" w:rsidRDefault="005F0993" w:rsidP="00232178">
            <w:r>
              <w:t>1.0</w:t>
            </w:r>
          </w:p>
        </w:tc>
      </w:tr>
      <w:tr w:rsidR="005F0993" w14:paraId="7196AE5E" w14:textId="77777777" w:rsidTr="00232178">
        <w:tc>
          <w:tcPr>
            <w:tcW w:w="8814" w:type="dxa"/>
          </w:tcPr>
          <w:p w14:paraId="6E4D590B" w14:textId="77777777" w:rsidR="005F0993" w:rsidRDefault="005F0993" w:rsidP="00232178">
            <w:r>
              <w:t xml:space="preserve"> Best Practices in AR oversight (includes in-house versus outsourcing nuances, audits, risks, rewards)</w:t>
            </w:r>
          </w:p>
        </w:tc>
        <w:tc>
          <w:tcPr>
            <w:tcW w:w="631" w:type="dxa"/>
          </w:tcPr>
          <w:p w14:paraId="285DF2A9" w14:textId="77777777" w:rsidR="005F0993" w:rsidRDefault="005F0993" w:rsidP="00232178">
            <w:r>
              <w:t>1.0</w:t>
            </w:r>
          </w:p>
        </w:tc>
      </w:tr>
      <w:tr w:rsidR="005F0993" w14:paraId="171DBFE1" w14:textId="77777777" w:rsidTr="00232178">
        <w:tc>
          <w:tcPr>
            <w:tcW w:w="8814" w:type="dxa"/>
          </w:tcPr>
          <w:p w14:paraId="3CAC5079" w14:textId="77777777" w:rsidR="005F0993" w:rsidRDefault="005F0993" w:rsidP="00232178">
            <w:r>
              <w:t>Coding—risks, rewards, reimbursement considerations</w:t>
            </w:r>
          </w:p>
        </w:tc>
        <w:tc>
          <w:tcPr>
            <w:tcW w:w="631" w:type="dxa"/>
          </w:tcPr>
          <w:p w14:paraId="39980368" w14:textId="77777777" w:rsidR="005F0993" w:rsidRDefault="005F0993" w:rsidP="00232178">
            <w:r>
              <w:t>1.0</w:t>
            </w:r>
          </w:p>
        </w:tc>
      </w:tr>
      <w:tr w:rsidR="005F0993" w14:paraId="72757A03" w14:textId="77777777" w:rsidTr="00232178">
        <w:tc>
          <w:tcPr>
            <w:tcW w:w="8814" w:type="dxa"/>
          </w:tcPr>
          <w:p w14:paraId="6B56CAEA" w14:textId="77777777" w:rsidR="005F0993" w:rsidRDefault="005F0993" w:rsidP="00232178">
            <w:r w:rsidRPr="00793CD7">
              <w:t>Medical Discount Programs/ Cash/ Transparency</w:t>
            </w:r>
          </w:p>
        </w:tc>
        <w:tc>
          <w:tcPr>
            <w:tcW w:w="631" w:type="dxa"/>
          </w:tcPr>
          <w:p w14:paraId="7BB36B57" w14:textId="77777777" w:rsidR="005F0993" w:rsidRDefault="005F0993" w:rsidP="00232178">
            <w:r>
              <w:t>1.0</w:t>
            </w:r>
          </w:p>
        </w:tc>
      </w:tr>
      <w:tr w:rsidR="005F0993" w14:paraId="5147F2D1" w14:textId="77777777" w:rsidTr="00232178">
        <w:tc>
          <w:tcPr>
            <w:tcW w:w="8814" w:type="dxa"/>
          </w:tcPr>
          <w:p w14:paraId="1FD6CC56" w14:textId="77777777" w:rsidR="005F0993" w:rsidRDefault="005F0993" w:rsidP="00232178">
            <w:r>
              <w:t>The Front Desk—best practices, TOS collections, controls</w:t>
            </w:r>
          </w:p>
        </w:tc>
        <w:tc>
          <w:tcPr>
            <w:tcW w:w="631" w:type="dxa"/>
          </w:tcPr>
          <w:p w14:paraId="0E69D3D7" w14:textId="77777777" w:rsidR="005F0993" w:rsidRDefault="005F0993" w:rsidP="00232178">
            <w:r>
              <w:t>1.0</w:t>
            </w:r>
          </w:p>
        </w:tc>
      </w:tr>
    </w:tbl>
    <w:p w14:paraId="503B1803" w14:textId="77777777" w:rsidR="00C031F4" w:rsidRDefault="00C031F4" w:rsidP="00D3128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4"/>
        <w:gridCol w:w="631"/>
      </w:tblGrid>
      <w:tr w:rsidR="004B644C" w14:paraId="72D9715C" w14:textId="77777777" w:rsidTr="004B644C">
        <w:tc>
          <w:tcPr>
            <w:tcW w:w="8814" w:type="dxa"/>
            <w:shd w:val="clear" w:color="auto" w:fill="A8D08D" w:themeFill="accent6" w:themeFillTint="99"/>
          </w:tcPr>
          <w:p w14:paraId="27AC2CEF" w14:textId="293984CB" w:rsidR="004B644C" w:rsidRPr="004B644C" w:rsidRDefault="004B644C" w:rsidP="004B644C">
            <w:pPr>
              <w:rPr>
                <w:b/>
              </w:rPr>
            </w:pPr>
            <w:r w:rsidRPr="004B644C">
              <w:rPr>
                <w:b/>
              </w:rPr>
              <w:t xml:space="preserve">DOMAIN: QUALITY &amp; SAFETY </w:t>
            </w:r>
          </w:p>
        </w:tc>
        <w:tc>
          <w:tcPr>
            <w:tcW w:w="631" w:type="dxa"/>
            <w:shd w:val="clear" w:color="auto" w:fill="A8D08D" w:themeFill="accent6" w:themeFillTint="99"/>
          </w:tcPr>
          <w:p w14:paraId="1344A265" w14:textId="77777777" w:rsidR="004B644C" w:rsidRDefault="004B644C" w:rsidP="00232178">
            <w:pPr>
              <w:jc w:val="center"/>
            </w:pPr>
            <w:r>
              <w:t>HRS.</w:t>
            </w:r>
          </w:p>
        </w:tc>
      </w:tr>
      <w:tr w:rsidR="004B644C" w14:paraId="19E03B16" w14:textId="77777777" w:rsidTr="00232178">
        <w:tc>
          <w:tcPr>
            <w:tcW w:w="8814" w:type="dxa"/>
          </w:tcPr>
          <w:p w14:paraId="1ADED175" w14:textId="77777777" w:rsidR="004B644C" w:rsidRDefault="004B644C" w:rsidP="00232178">
            <w:r>
              <w:t>Infection Control in the Ambulatory Care Setting</w:t>
            </w:r>
          </w:p>
        </w:tc>
        <w:tc>
          <w:tcPr>
            <w:tcW w:w="631" w:type="dxa"/>
          </w:tcPr>
          <w:p w14:paraId="711632DE" w14:textId="77777777" w:rsidR="004B644C" w:rsidRDefault="004B644C" w:rsidP="00232178">
            <w:r>
              <w:t>1.5</w:t>
            </w:r>
          </w:p>
        </w:tc>
      </w:tr>
      <w:tr w:rsidR="004B644C" w14:paraId="324792CF" w14:textId="77777777" w:rsidTr="00232178">
        <w:tc>
          <w:tcPr>
            <w:tcW w:w="8814" w:type="dxa"/>
          </w:tcPr>
          <w:p w14:paraId="4A4780FA" w14:textId="77777777" w:rsidR="004B644C" w:rsidRDefault="004B644C" w:rsidP="00232178">
            <w:r>
              <w:lastRenderedPageBreak/>
              <w:t xml:space="preserve">Defining the Organization’s Scope of Care </w:t>
            </w:r>
          </w:p>
        </w:tc>
        <w:tc>
          <w:tcPr>
            <w:tcW w:w="631" w:type="dxa"/>
          </w:tcPr>
          <w:p w14:paraId="342BC353" w14:textId="77777777" w:rsidR="004B644C" w:rsidRDefault="004B644C" w:rsidP="00232178">
            <w:r>
              <w:t>1.0</w:t>
            </w:r>
          </w:p>
        </w:tc>
      </w:tr>
      <w:tr w:rsidR="004B644C" w14:paraId="309F5137" w14:textId="77777777" w:rsidTr="00232178">
        <w:tc>
          <w:tcPr>
            <w:tcW w:w="8814" w:type="dxa"/>
          </w:tcPr>
          <w:p w14:paraId="7ED7E823" w14:textId="77777777" w:rsidR="004B644C" w:rsidRDefault="004B644C" w:rsidP="00232178">
            <w:r>
              <w:t>Clinical Considerations in the On-demand Practice (medical emergencies, employer services/ occupational medicine and injured workers, sports/ school physicals, telemedicine, EHR considerations and audit, when something goes wrong/ incident reporting)</w:t>
            </w:r>
          </w:p>
        </w:tc>
        <w:tc>
          <w:tcPr>
            <w:tcW w:w="631" w:type="dxa"/>
          </w:tcPr>
          <w:p w14:paraId="3BF177DB" w14:textId="77777777" w:rsidR="004B644C" w:rsidRDefault="004B644C" w:rsidP="00232178">
            <w:r>
              <w:t>2.0</w:t>
            </w:r>
          </w:p>
        </w:tc>
      </w:tr>
      <w:tr w:rsidR="004B644C" w14:paraId="2AEF3C98" w14:textId="77777777" w:rsidTr="00232178">
        <w:tc>
          <w:tcPr>
            <w:tcW w:w="8814" w:type="dxa"/>
          </w:tcPr>
          <w:p w14:paraId="6AFB88CA" w14:textId="77777777" w:rsidR="004B644C" w:rsidRDefault="004B644C" w:rsidP="00232178">
            <w:r>
              <w:t>Non-clinical Patient Care Considerations (care of minors, left without being seen, patient consents, chaperones, abuse and neglect, care of minors, reporting infectious diseases, patient follow-up, test reporting, EHR and other disruptions in care/ services/ utilities, etc.)</w:t>
            </w:r>
          </w:p>
        </w:tc>
        <w:tc>
          <w:tcPr>
            <w:tcW w:w="631" w:type="dxa"/>
          </w:tcPr>
          <w:p w14:paraId="4EBB971B" w14:textId="77777777" w:rsidR="004B644C" w:rsidRDefault="004B644C" w:rsidP="00232178">
            <w:r>
              <w:t>1.5</w:t>
            </w:r>
          </w:p>
        </w:tc>
      </w:tr>
      <w:tr w:rsidR="004B644C" w:rsidRPr="004B644C" w14:paraId="1482B8B5" w14:textId="77777777" w:rsidTr="00232178">
        <w:tc>
          <w:tcPr>
            <w:tcW w:w="8814" w:type="dxa"/>
          </w:tcPr>
          <w:p w14:paraId="36F44DBD" w14:textId="77777777" w:rsidR="004B644C" w:rsidRPr="004B644C" w:rsidRDefault="004B644C" w:rsidP="00232178">
            <w:r w:rsidRPr="004B644C">
              <w:t>MIPS &amp; Quality Measures (includes impact on reimbursement)</w:t>
            </w:r>
          </w:p>
        </w:tc>
        <w:tc>
          <w:tcPr>
            <w:tcW w:w="631" w:type="dxa"/>
          </w:tcPr>
          <w:p w14:paraId="5557202E" w14:textId="77777777" w:rsidR="004B644C" w:rsidRPr="004B644C" w:rsidRDefault="004B644C" w:rsidP="00232178">
            <w:r w:rsidRPr="004B644C">
              <w:t>1.0</w:t>
            </w:r>
          </w:p>
        </w:tc>
      </w:tr>
      <w:tr w:rsidR="004B644C" w14:paraId="5780082B" w14:textId="77777777" w:rsidTr="00232178">
        <w:tc>
          <w:tcPr>
            <w:tcW w:w="8814" w:type="dxa"/>
          </w:tcPr>
          <w:p w14:paraId="75F4B0FF" w14:textId="77777777" w:rsidR="004B644C" w:rsidRDefault="004B644C" w:rsidP="00232178">
            <w:r>
              <w:t>Fire &amp; Safety Program Development &amp; Implementation</w:t>
            </w:r>
          </w:p>
        </w:tc>
        <w:tc>
          <w:tcPr>
            <w:tcW w:w="631" w:type="dxa"/>
          </w:tcPr>
          <w:p w14:paraId="47371E26" w14:textId="77777777" w:rsidR="004B644C" w:rsidRDefault="004B644C" w:rsidP="00232178">
            <w:r>
              <w:t>1.0</w:t>
            </w:r>
          </w:p>
        </w:tc>
      </w:tr>
      <w:tr w:rsidR="004B644C" w14:paraId="0B3631A2" w14:textId="77777777" w:rsidTr="00232178">
        <w:tc>
          <w:tcPr>
            <w:tcW w:w="8814" w:type="dxa"/>
          </w:tcPr>
          <w:p w14:paraId="65C63E9F" w14:textId="77777777" w:rsidR="004B644C" w:rsidRDefault="004B644C" w:rsidP="00232178">
            <w:r>
              <w:t>Building and Implementing an Overarching Quality Program &amp; Plan</w:t>
            </w:r>
          </w:p>
        </w:tc>
        <w:tc>
          <w:tcPr>
            <w:tcW w:w="631" w:type="dxa"/>
          </w:tcPr>
          <w:p w14:paraId="015D5446" w14:textId="77777777" w:rsidR="004B644C" w:rsidRDefault="004B644C" w:rsidP="00232178">
            <w:r>
              <w:t>1.0</w:t>
            </w:r>
          </w:p>
        </w:tc>
      </w:tr>
      <w:tr w:rsidR="004B644C" w14:paraId="57DE0AA0" w14:textId="77777777" w:rsidTr="00232178">
        <w:tc>
          <w:tcPr>
            <w:tcW w:w="8814" w:type="dxa"/>
          </w:tcPr>
          <w:p w14:paraId="391ABE43" w14:textId="77777777" w:rsidR="004B644C" w:rsidRDefault="004B644C" w:rsidP="00232178">
            <w:r>
              <w:t>OSHA Compliance and Safety Considerations in the On-Demand Practice</w:t>
            </w:r>
          </w:p>
        </w:tc>
        <w:tc>
          <w:tcPr>
            <w:tcW w:w="631" w:type="dxa"/>
          </w:tcPr>
          <w:p w14:paraId="5201E2D6" w14:textId="77777777" w:rsidR="004B644C" w:rsidRDefault="004B644C" w:rsidP="00232178">
            <w:r>
              <w:t>1.0</w:t>
            </w:r>
          </w:p>
        </w:tc>
      </w:tr>
      <w:tr w:rsidR="004B644C" w14:paraId="4743E351" w14:textId="77777777" w:rsidTr="00232178">
        <w:tc>
          <w:tcPr>
            <w:tcW w:w="8814" w:type="dxa"/>
          </w:tcPr>
          <w:p w14:paraId="7C4A8E16" w14:textId="77777777" w:rsidR="004B644C" w:rsidRDefault="004B644C" w:rsidP="00232178">
            <w:r w:rsidRPr="004B644C">
              <w:t>Accreditation &amp; Certification Considerations (PCMH, UCAOA, NCQA Connected Home, TJC and other options)</w:t>
            </w:r>
          </w:p>
        </w:tc>
        <w:tc>
          <w:tcPr>
            <w:tcW w:w="631" w:type="dxa"/>
          </w:tcPr>
          <w:p w14:paraId="5339ECC2" w14:textId="77777777" w:rsidR="004B644C" w:rsidRDefault="004B644C" w:rsidP="00232178">
            <w:r>
              <w:t>1.0</w:t>
            </w:r>
          </w:p>
        </w:tc>
      </w:tr>
      <w:tr w:rsidR="004B644C" w14:paraId="49A54D2D" w14:textId="77777777" w:rsidTr="00232178">
        <w:tc>
          <w:tcPr>
            <w:tcW w:w="8814" w:type="dxa"/>
          </w:tcPr>
          <w:p w14:paraId="1274764A" w14:textId="77777777" w:rsidR="004B644C" w:rsidRDefault="004B644C" w:rsidP="00232178">
            <w:r>
              <w:t>Policies &amp; Procedures (key areas addressed:  the high-risk patient, emergency carts, medications, dispensing, emergency preparedness, triage, medical record documentation, incident reporting, and other key patient care quality and safety areas)</w:t>
            </w:r>
          </w:p>
        </w:tc>
        <w:tc>
          <w:tcPr>
            <w:tcW w:w="631" w:type="dxa"/>
          </w:tcPr>
          <w:p w14:paraId="18EAC2E3" w14:textId="77777777" w:rsidR="004B644C" w:rsidRDefault="004B644C" w:rsidP="00232178">
            <w:r>
              <w:t>2.0</w:t>
            </w:r>
          </w:p>
        </w:tc>
      </w:tr>
      <w:tr w:rsidR="004B644C" w14:paraId="2F3555F5" w14:textId="77777777" w:rsidTr="00232178">
        <w:tc>
          <w:tcPr>
            <w:tcW w:w="8814" w:type="dxa"/>
          </w:tcPr>
          <w:p w14:paraId="658EA1EE" w14:textId="77777777" w:rsidR="004B644C" w:rsidRDefault="004B644C" w:rsidP="00232178">
            <w:r w:rsidRPr="004B644C">
              <w:t>Quality from the perspective of the payer and the healthcare community at large (the connected patient, quality metrics and distinguishers, reporting); Partnering with other key stakeholders for improved patient outcomes</w:t>
            </w:r>
          </w:p>
        </w:tc>
        <w:tc>
          <w:tcPr>
            <w:tcW w:w="631" w:type="dxa"/>
          </w:tcPr>
          <w:p w14:paraId="2BE7233E" w14:textId="77777777" w:rsidR="004B644C" w:rsidRDefault="004B644C" w:rsidP="00232178">
            <w:r>
              <w:t>1.0</w:t>
            </w:r>
          </w:p>
        </w:tc>
      </w:tr>
    </w:tbl>
    <w:p w14:paraId="2C2F73CB" w14:textId="77777777" w:rsidR="005033EF" w:rsidRPr="00D31283" w:rsidRDefault="005033EF" w:rsidP="00D31283">
      <w:pPr>
        <w:rPr>
          <w:sz w:val="18"/>
          <w:szCs w:val="18"/>
        </w:rPr>
      </w:pPr>
    </w:p>
    <w:sectPr w:rsidR="005033EF" w:rsidRPr="00D31283" w:rsidSect="00347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3C3D6" w14:textId="77777777" w:rsidR="00DA78A5" w:rsidRDefault="00DA78A5" w:rsidP="003E3EAC">
      <w:pPr>
        <w:spacing w:after="0" w:line="240" w:lineRule="auto"/>
      </w:pPr>
      <w:r>
        <w:separator/>
      </w:r>
    </w:p>
  </w:endnote>
  <w:endnote w:type="continuationSeparator" w:id="0">
    <w:p w14:paraId="3792390A" w14:textId="77777777" w:rsidR="00DA78A5" w:rsidRDefault="00DA78A5" w:rsidP="003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61C70" w14:textId="77777777" w:rsidR="000A7A51" w:rsidRDefault="000A7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9775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11BCA4" w14:textId="4C5B6968" w:rsidR="000A7A51" w:rsidRDefault="000A7A5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AB4" w:rsidRPr="006E7AB4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7EBA3F" w14:textId="77777777" w:rsidR="000A7A51" w:rsidRDefault="000A7A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CFD1C" w14:textId="77777777" w:rsidR="000A7A51" w:rsidRDefault="000A7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79E32" w14:textId="77777777" w:rsidR="00DA78A5" w:rsidRDefault="00DA78A5" w:rsidP="003E3EAC">
      <w:pPr>
        <w:spacing w:after="0" w:line="240" w:lineRule="auto"/>
      </w:pPr>
      <w:r>
        <w:separator/>
      </w:r>
    </w:p>
  </w:footnote>
  <w:footnote w:type="continuationSeparator" w:id="0">
    <w:p w14:paraId="43FB202D" w14:textId="77777777" w:rsidR="00DA78A5" w:rsidRDefault="00DA78A5" w:rsidP="003E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CC44" w14:textId="77777777" w:rsidR="000A7A51" w:rsidRDefault="000A7A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5E81" w14:textId="4BC9E9F0" w:rsidR="003E3EAC" w:rsidRDefault="006E7AB4">
    <w:pPr>
      <w:pStyle w:val="Header"/>
    </w:pPr>
    <w:r>
      <w:rPr>
        <w:noProof/>
      </w:rPr>
      <w:drawing>
        <wp:inline distT="0" distB="0" distL="0" distR="0" wp14:anchorId="1C2066E5" wp14:editId="22181657">
          <wp:extent cx="5943600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Frontiers Call for Presenta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3ADAF" w14:textId="77777777" w:rsidR="000A7A51" w:rsidRDefault="000A7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1DCC"/>
    <w:multiLevelType w:val="hybridMultilevel"/>
    <w:tmpl w:val="6FE07286"/>
    <w:lvl w:ilvl="0" w:tplc="6E4010A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4616"/>
    <w:multiLevelType w:val="hybridMultilevel"/>
    <w:tmpl w:val="4D9CB882"/>
    <w:lvl w:ilvl="0" w:tplc="5B16ACA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F179D"/>
    <w:multiLevelType w:val="hybridMultilevel"/>
    <w:tmpl w:val="F09E8F88"/>
    <w:lvl w:ilvl="0" w:tplc="01A6B11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42"/>
    <w:rsid w:val="00081555"/>
    <w:rsid w:val="000A7A51"/>
    <w:rsid w:val="00105BC4"/>
    <w:rsid w:val="001546A3"/>
    <w:rsid w:val="001B4BB1"/>
    <w:rsid w:val="002123F5"/>
    <w:rsid w:val="00347E42"/>
    <w:rsid w:val="00372C94"/>
    <w:rsid w:val="00372CCD"/>
    <w:rsid w:val="00381DE3"/>
    <w:rsid w:val="003E3EAC"/>
    <w:rsid w:val="0040166B"/>
    <w:rsid w:val="0046149D"/>
    <w:rsid w:val="004B644C"/>
    <w:rsid w:val="004E16DC"/>
    <w:rsid w:val="004F54C5"/>
    <w:rsid w:val="005033EF"/>
    <w:rsid w:val="005E59CA"/>
    <w:rsid w:val="005F0993"/>
    <w:rsid w:val="005F3B51"/>
    <w:rsid w:val="006245CD"/>
    <w:rsid w:val="00657B12"/>
    <w:rsid w:val="006A2099"/>
    <w:rsid w:val="006A4A6C"/>
    <w:rsid w:val="006C7171"/>
    <w:rsid w:val="006E7AB4"/>
    <w:rsid w:val="007274D8"/>
    <w:rsid w:val="00793CD7"/>
    <w:rsid w:val="007B6279"/>
    <w:rsid w:val="007D4C44"/>
    <w:rsid w:val="008400C7"/>
    <w:rsid w:val="008A163B"/>
    <w:rsid w:val="008C0A69"/>
    <w:rsid w:val="008D5AE5"/>
    <w:rsid w:val="008E2508"/>
    <w:rsid w:val="00937AC5"/>
    <w:rsid w:val="009465BB"/>
    <w:rsid w:val="00970AFA"/>
    <w:rsid w:val="00972B57"/>
    <w:rsid w:val="009A4932"/>
    <w:rsid w:val="00AD64D6"/>
    <w:rsid w:val="00AF57B4"/>
    <w:rsid w:val="00B4221E"/>
    <w:rsid w:val="00BC3244"/>
    <w:rsid w:val="00BF5F2A"/>
    <w:rsid w:val="00C031F4"/>
    <w:rsid w:val="00C40358"/>
    <w:rsid w:val="00C5006F"/>
    <w:rsid w:val="00C63072"/>
    <w:rsid w:val="00C75129"/>
    <w:rsid w:val="00D21ACF"/>
    <w:rsid w:val="00D22FF7"/>
    <w:rsid w:val="00D31283"/>
    <w:rsid w:val="00D559A3"/>
    <w:rsid w:val="00D727DC"/>
    <w:rsid w:val="00DA78A5"/>
    <w:rsid w:val="00DD6A3A"/>
    <w:rsid w:val="00F24003"/>
    <w:rsid w:val="00F6694B"/>
    <w:rsid w:val="00F76C08"/>
    <w:rsid w:val="00F85946"/>
    <w:rsid w:val="00F9257A"/>
    <w:rsid w:val="00FA00AE"/>
    <w:rsid w:val="00FA56D3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FB9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AC"/>
  </w:style>
  <w:style w:type="paragraph" w:styleId="Footer">
    <w:name w:val="footer"/>
    <w:basedOn w:val="Normal"/>
    <w:link w:val="FooterChar"/>
    <w:uiPriority w:val="99"/>
    <w:unhideWhenUsed/>
    <w:rsid w:val="003E3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AC"/>
  </w:style>
  <w:style w:type="table" w:styleId="TableGrid">
    <w:name w:val="Table Grid"/>
    <w:basedOn w:val="TableNormal"/>
    <w:uiPriority w:val="39"/>
    <w:rsid w:val="003E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6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EAC"/>
  </w:style>
  <w:style w:type="paragraph" w:styleId="Footer">
    <w:name w:val="footer"/>
    <w:basedOn w:val="Normal"/>
    <w:link w:val="FooterChar"/>
    <w:uiPriority w:val="99"/>
    <w:unhideWhenUsed/>
    <w:rsid w:val="003E3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AC"/>
  </w:style>
  <w:style w:type="table" w:styleId="TableGrid">
    <w:name w:val="Table Grid"/>
    <w:basedOn w:val="TableNormal"/>
    <w:uiPriority w:val="39"/>
    <w:rsid w:val="003E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6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LStoimenoff@UCAOA.local</dc:creator>
  <cp:lastModifiedBy>Carla</cp:lastModifiedBy>
  <cp:revision>2</cp:revision>
  <dcterms:created xsi:type="dcterms:W3CDTF">2018-04-19T21:40:00Z</dcterms:created>
  <dcterms:modified xsi:type="dcterms:W3CDTF">2018-04-19T21:40:00Z</dcterms:modified>
</cp:coreProperties>
</file>