
<file path=[Content_Types].xml><?xml version="1.0" encoding="utf-8"?>
<Types xmlns="http://schemas.openxmlformats.org/package/2006/content-types">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04A3" w14:textId="042A5018" w:rsidR="00591B57" w:rsidRPr="00400783" w:rsidRDefault="00400783" w:rsidP="00400783">
      <w:pPr>
        <w:pStyle w:val="Title"/>
        <w:jc w:val="center"/>
        <w:rPr>
          <w:rFonts w:ascii="Garamond" w:hAnsi="Garamond"/>
        </w:rPr>
      </w:pPr>
      <w:bookmarkStart w:id="0" w:name="_GoBack"/>
      <w:bookmarkEnd w:id="0"/>
      <w:r w:rsidRPr="00400783">
        <w:rPr>
          <w:rFonts w:ascii="Garamond" w:hAnsi="Garamond"/>
        </w:rPr>
        <w:t>2020 ADHA Annual Conference</w:t>
      </w:r>
    </w:p>
    <w:p w14:paraId="664F53F3" w14:textId="16672446" w:rsidR="00400783" w:rsidRPr="00400783" w:rsidRDefault="00400783" w:rsidP="00400783">
      <w:pPr>
        <w:pStyle w:val="Title"/>
        <w:jc w:val="center"/>
        <w:rPr>
          <w:rFonts w:ascii="Garamond" w:hAnsi="Garamond"/>
          <w:color w:val="ED7D31" w:themeColor="accent2"/>
        </w:rPr>
      </w:pPr>
      <w:r w:rsidRPr="00400783">
        <w:rPr>
          <w:rFonts w:ascii="Garamond" w:hAnsi="Garamond"/>
          <w:color w:val="ED7D31" w:themeColor="accent2"/>
        </w:rPr>
        <w:t>Call for Education Proposals Guide</w:t>
      </w:r>
    </w:p>
    <w:p w14:paraId="0DE7491B" w14:textId="56EDCC92" w:rsidR="00400783" w:rsidRDefault="000D7E4D" w:rsidP="00400783">
      <w:pPr>
        <w:pStyle w:val="Title"/>
        <w:jc w:val="center"/>
        <w:rPr>
          <w:rFonts w:ascii="Garamond" w:hAnsi="Garamond"/>
        </w:rPr>
      </w:pPr>
      <w:r>
        <w:rPr>
          <w:rFonts w:ascii="Garamond" w:hAnsi="Garamond"/>
        </w:rPr>
        <w:t>June</w:t>
      </w:r>
      <w:r w:rsidR="00400783" w:rsidRPr="00400783">
        <w:rPr>
          <w:rFonts w:ascii="Garamond" w:hAnsi="Garamond"/>
        </w:rPr>
        <w:t xml:space="preserve"> 2019—A</w:t>
      </w:r>
      <w:r>
        <w:rPr>
          <w:rFonts w:ascii="Garamond" w:hAnsi="Garamond"/>
        </w:rPr>
        <w:t>ugust</w:t>
      </w:r>
      <w:r w:rsidR="00400783" w:rsidRPr="00400783">
        <w:rPr>
          <w:rFonts w:ascii="Garamond" w:hAnsi="Garamond"/>
        </w:rPr>
        <w:t xml:space="preserve"> 2019</w:t>
      </w:r>
    </w:p>
    <w:p w14:paraId="0894EAC3" w14:textId="53FEF176" w:rsidR="00400783" w:rsidRDefault="00400783" w:rsidP="00400783"/>
    <w:p w14:paraId="511D3648" w14:textId="3C8419BD" w:rsidR="00400783" w:rsidRPr="00F10428" w:rsidRDefault="00400783" w:rsidP="00F10428">
      <w:pPr>
        <w:pStyle w:val="Heading1"/>
        <w:rPr>
          <w:rFonts w:ascii="Bodoni MT Black" w:hAnsi="Bodoni MT Black"/>
          <w:sz w:val="36"/>
        </w:rPr>
      </w:pPr>
      <w:r w:rsidRPr="00504C84">
        <w:rPr>
          <w:rFonts w:ascii="Bodoni MT Black" w:hAnsi="Bodoni MT Black"/>
          <w:sz w:val="36"/>
        </w:rPr>
        <w:t>Overview</w:t>
      </w:r>
    </w:p>
    <w:p w14:paraId="4A56D50B" w14:textId="0893AD68" w:rsidR="00400783" w:rsidRPr="00121721" w:rsidRDefault="00400783" w:rsidP="00400783">
      <w:pPr>
        <w:rPr>
          <w:rFonts w:ascii="Garamond" w:hAnsi="Garamond"/>
          <w:sz w:val="24"/>
        </w:rPr>
      </w:pPr>
      <w:r w:rsidRPr="00121721">
        <w:rPr>
          <w:rFonts w:ascii="Garamond" w:hAnsi="Garamond"/>
          <w:sz w:val="24"/>
        </w:rPr>
        <w:t xml:space="preserve">The ADHA Annual Conference, being held in New Orleans June </w:t>
      </w:r>
      <w:r w:rsidR="00A32811">
        <w:rPr>
          <w:rFonts w:ascii="Garamond" w:hAnsi="Garamond"/>
          <w:sz w:val="24"/>
        </w:rPr>
        <w:t>12</w:t>
      </w:r>
      <w:r w:rsidRPr="00121721">
        <w:rPr>
          <w:rFonts w:ascii="Garamond" w:hAnsi="Garamond"/>
          <w:sz w:val="24"/>
        </w:rPr>
        <w:t>-</w:t>
      </w:r>
      <w:r w:rsidR="004A3757">
        <w:rPr>
          <w:rFonts w:ascii="Garamond" w:hAnsi="Garamond"/>
          <w:sz w:val="24"/>
        </w:rPr>
        <w:t>14</w:t>
      </w:r>
      <w:r w:rsidRPr="00121721">
        <w:rPr>
          <w:rFonts w:ascii="Garamond" w:hAnsi="Garamond"/>
          <w:sz w:val="24"/>
        </w:rPr>
        <w:t xml:space="preserve">, 2020, is an </w:t>
      </w:r>
      <w:r w:rsidR="00121721" w:rsidRPr="00121721">
        <w:rPr>
          <w:rFonts w:ascii="Garamond" w:hAnsi="Garamond"/>
          <w:sz w:val="24"/>
        </w:rPr>
        <w:t>opportunity for dental hygienists to engage in exceptional formal and informal learning experiences to advance professional development, improve patient care, and learn about the latest trends in dental hygiene.</w:t>
      </w:r>
    </w:p>
    <w:p w14:paraId="532C2BA5" w14:textId="0A59D85E" w:rsidR="00121721" w:rsidRPr="00121721" w:rsidRDefault="00121721" w:rsidP="00400783">
      <w:pPr>
        <w:rPr>
          <w:rFonts w:ascii="Garamond" w:hAnsi="Garamond"/>
          <w:sz w:val="24"/>
        </w:rPr>
      </w:pPr>
      <w:r w:rsidRPr="00121721">
        <w:rPr>
          <w:rFonts w:ascii="Garamond" w:hAnsi="Garamond"/>
          <w:sz w:val="24"/>
        </w:rPr>
        <w:t>ADHA is seeking education proposals founded in sound adult learning principals and reflecting evidenced-based, cutting-edge thinking, informed by current theory, research, and practice. Intended to deliver the utmost learning experience, preference may be given to proposals that are positioned to deliver a balanced mix of the following:</w:t>
      </w:r>
    </w:p>
    <w:p w14:paraId="33CE47C5" w14:textId="368A4973" w:rsidR="00121721" w:rsidRPr="00504C84" w:rsidRDefault="00121721" w:rsidP="00121721">
      <w:pPr>
        <w:pStyle w:val="Heading2"/>
        <w:rPr>
          <w:rFonts w:ascii="Bodoni MT Black" w:hAnsi="Bodoni MT Black"/>
          <w:sz w:val="28"/>
        </w:rPr>
      </w:pPr>
      <w:r w:rsidRPr="00504C84">
        <w:rPr>
          <w:rFonts w:ascii="Bodoni MT Black" w:hAnsi="Bodoni MT Black"/>
          <w:sz w:val="28"/>
        </w:rPr>
        <w:t>Content</w:t>
      </w:r>
    </w:p>
    <w:p w14:paraId="72308123" w14:textId="1CED48F6" w:rsidR="00121721" w:rsidRDefault="00121721" w:rsidP="00121721">
      <w:pPr>
        <w:pStyle w:val="ListParagraph"/>
        <w:numPr>
          <w:ilvl w:val="0"/>
          <w:numId w:val="1"/>
        </w:numPr>
        <w:rPr>
          <w:rFonts w:ascii="Garamond" w:hAnsi="Garamond"/>
          <w:sz w:val="24"/>
        </w:rPr>
      </w:pPr>
      <w:r>
        <w:rPr>
          <w:rFonts w:ascii="Garamond" w:hAnsi="Garamond"/>
          <w:sz w:val="24"/>
        </w:rPr>
        <w:t>Innovative, cutting-edge, evidenced-based</w:t>
      </w:r>
    </w:p>
    <w:p w14:paraId="5614D457" w14:textId="001360B5" w:rsidR="00121721" w:rsidRDefault="00121721" w:rsidP="00121721">
      <w:pPr>
        <w:pStyle w:val="ListParagraph"/>
        <w:numPr>
          <w:ilvl w:val="0"/>
          <w:numId w:val="1"/>
        </w:numPr>
        <w:rPr>
          <w:rFonts w:ascii="Garamond" w:hAnsi="Garamond"/>
          <w:sz w:val="24"/>
        </w:rPr>
      </w:pPr>
      <w:r>
        <w:rPr>
          <w:rFonts w:ascii="Garamond" w:hAnsi="Garamond"/>
          <w:sz w:val="24"/>
        </w:rPr>
        <w:t>Practical application with evidence supported by research/data</w:t>
      </w:r>
    </w:p>
    <w:p w14:paraId="0271C31E" w14:textId="36803EBD" w:rsidR="00121721" w:rsidRDefault="00121721" w:rsidP="00121721">
      <w:pPr>
        <w:pStyle w:val="ListParagraph"/>
        <w:numPr>
          <w:ilvl w:val="0"/>
          <w:numId w:val="1"/>
        </w:numPr>
        <w:rPr>
          <w:rFonts w:ascii="Garamond" w:hAnsi="Garamond"/>
          <w:sz w:val="24"/>
        </w:rPr>
      </w:pPr>
      <w:r>
        <w:rPr>
          <w:rFonts w:ascii="Garamond" w:hAnsi="Garamond"/>
          <w:sz w:val="24"/>
        </w:rPr>
        <w:t xml:space="preserve">Exploring issues important to dental hygienists at varying stages of expertise </w:t>
      </w:r>
    </w:p>
    <w:p w14:paraId="70F3B98A" w14:textId="25716BC3" w:rsidR="00121721" w:rsidRDefault="00121721" w:rsidP="00121721">
      <w:pPr>
        <w:pStyle w:val="Heading2"/>
        <w:rPr>
          <w:rFonts w:ascii="Garamond" w:hAnsi="Garamond"/>
          <w:sz w:val="28"/>
        </w:rPr>
      </w:pPr>
      <w:r w:rsidRPr="00504C84">
        <w:rPr>
          <w:rFonts w:ascii="Bodoni MT Black" w:hAnsi="Bodoni MT Black"/>
          <w:sz w:val="28"/>
        </w:rPr>
        <w:t>Instructional</w:t>
      </w:r>
      <w:r w:rsidRPr="00121721">
        <w:rPr>
          <w:rFonts w:ascii="Garamond" w:hAnsi="Garamond"/>
          <w:sz w:val="28"/>
        </w:rPr>
        <w:t xml:space="preserve"> </w:t>
      </w:r>
      <w:r w:rsidRPr="00504C84">
        <w:rPr>
          <w:rFonts w:ascii="Bodoni MT Black" w:hAnsi="Bodoni MT Black"/>
          <w:sz w:val="28"/>
        </w:rPr>
        <w:t>Design</w:t>
      </w:r>
    </w:p>
    <w:p w14:paraId="0B3FEB04" w14:textId="6EAB5237" w:rsidR="00121721" w:rsidRPr="003712C4" w:rsidRDefault="00121721" w:rsidP="00121721">
      <w:pPr>
        <w:pStyle w:val="ListParagraph"/>
        <w:numPr>
          <w:ilvl w:val="0"/>
          <w:numId w:val="2"/>
        </w:numPr>
        <w:rPr>
          <w:rFonts w:ascii="Garamond" w:hAnsi="Garamond"/>
        </w:rPr>
      </w:pPr>
      <w:r w:rsidRPr="003712C4">
        <w:rPr>
          <w:rFonts w:ascii="Garamond" w:hAnsi="Garamond"/>
          <w:sz w:val="24"/>
        </w:rPr>
        <w:t>Stimulate and provoke discussion, audience engagement, and outcome-focused design</w:t>
      </w:r>
    </w:p>
    <w:p w14:paraId="3D7DE75D" w14:textId="1A77926C" w:rsidR="00121721" w:rsidRPr="003712C4" w:rsidRDefault="00121721" w:rsidP="00121721">
      <w:pPr>
        <w:pStyle w:val="ListParagraph"/>
        <w:numPr>
          <w:ilvl w:val="0"/>
          <w:numId w:val="2"/>
        </w:numPr>
        <w:rPr>
          <w:rFonts w:ascii="Garamond" w:hAnsi="Garamond"/>
        </w:rPr>
      </w:pPr>
      <w:r w:rsidRPr="003712C4">
        <w:rPr>
          <w:rFonts w:ascii="Garamond" w:hAnsi="Garamond"/>
          <w:sz w:val="24"/>
        </w:rPr>
        <w:t xml:space="preserve">Facilitate knowledge transfer and development of new competencies </w:t>
      </w:r>
    </w:p>
    <w:p w14:paraId="7838FDCA" w14:textId="0418D642" w:rsidR="003712C4" w:rsidRPr="003712C4" w:rsidRDefault="003712C4" w:rsidP="00121721">
      <w:pPr>
        <w:pStyle w:val="ListParagraph"/>
        <w:numPr>
          <w:ilvl w:val="0"/>
          <w:numId w:val="2"/>
        </w:numPr>
        <w:rPr>
          <w:rFonts w:ascii="Garamond" w:hAnsi="Garamond"/>
        </w:rPr>
      </w:pPr>
      <w:r w:rsidRPr="003712C4">
        <w:rPr>
          <w:rFonts w:ascii="Garamond" w:hAnsi="Garamond"/>
          <w:sz w:val="24"/>
        </w:rPr>
        <w:t>Collaborative delivery drawing on past experiences and knowledge of attendees</w:t>
      </w:r>
    </w:p>
    <w:p w14:paraId="47E05873" w14:textId="629B26AB" w:rsidR="003712C4" w:rsidRPr="00504C84" w:rsidRDefault="003712C4" w:rsidP="003712C4">
      <w:pPr>
        <w:pStyle w:val="Heading2"/>
        <w:rPr>
          <w:rFonts w:ascii="Bodoni MT Black" w:hAnsi="Bodoni MT Black"/>
          <w:sz w:val="28"/>
        </w:rPr>
      </w:pPr>
      <w:r w:rsidRPr="00504C84">
        <w:rPr>
          <w:rFonts w:ascii="Bodoni MT Black" w:hAnsi="Bodoni MT Black"/>
          <w:sz w:val="28"/>
        </w:rPr>
        <w:t>Audience</w:t>
      </w:r>
    </w:p>
    <w:p w14:paraId="7527682D" w14:textId="52E2DCDA" w:rsidR="003712C4" w:rsidRDefault="003712C4" w:rsidP="003712C4">
      <w:pPr>
        <w:pStyle w:val="ListParagraph"/>
        <w:numPr>
          <w:ilvl w:val="0"/>
          <w:numId w:val="3"/>
        </w:numPr>
        <w:rPr>
          <w:rFonts w:ascii="Garamond" w:hAnsi="Garamond"/>
          <w:sz w:val="24"/>
        </w:rPr>
      </w:pPr>
      <w:r>
        <w:rPr>
          <w:rFonts w:ascii="Garamond" w:hAnsi="Garamond"/>
          <w:sz w:val="24"/>
        </w:rPr>
        <w:t>Practicing dental hygienist</w:t>
      </w:r>
      <w:r w:rsidR="00504C84">
        <w:rPr>
          <w:rFonts w:ascii="Garamond" w:hAnsi="Garamond"/>
          <w:sz w:val="24"/>
        </w:rPr>
        <w:t>s in areas across clinical, education, research, and public health</w:t>
      </w:r>
    </w:p>
    <w:p w14:paraId="643F6A5D" w14:textId="78DD7CC9" w:rsidR="00504C84" w:rsidRDefault="00504C84" w:rsidP="003712C4">
      <w:pPr>
        <w:pStyle w:val="ListParagraph"/>
        <w:numPr>
          <w:ilvl w:val="0"/>
          <w:numId w:val="3"/>
        </w:numPr>
        <w:rPr>
          <w:rFonts w:ascii="Garamond" w:hAnsi="Garamond"/>
          <w:sz w:val="24"/>
        </w:rPr>
      </w:pPr>
      <w:r>
        <w:rPr>
          <w:rFonts w:ascii="Garamond" w:hAnsi="Garamond"/>
          <w:sz w:val="24"/>
        </w:rPr>
        <w:t>Dental hygienists at different stages of their learning path (ranging from still in school to 25+ years of work experience)</w:t>
      </w:r>
    </w:p>
    <w:p w14:paraId="640915F1" w14:textId="2CAE317E" w:rsidR="00504C84" w:rsidRDefault="00504C84" w:rsidP="003712C4">
      <w:pPr>
        <w:pStyle w:val="ListParagraph"/>
        <w:numPr>
          <w:ilvl w:val="0"/>
          <w:numId w:val="3"/>
        </w:numPr>
        <w:rPr>
          <w:rFonts w:ascii="Garamond" w:hAnsi="Garamond"/>
          <w:sz w:val="24"/>
        </w:rPr>
      </w:pPr>
      <w:r>
        <w:rPr>
          <w:rFonts w:ascii="Garamond" w:hAnsi="Garamond"/>
          <w:sz w:val="24"/>
        </w:rPr>
        <w:t>Strong desire for hands-on and interactive sessions where they can implement new skills the next week in their offices</w:t>
      </w:r>
      <w:r w:rsidR="004A3757">
        <w:rPr>
          <w:rFonts w:ascii="Garamond" w:hAnsi="Garamond"/>
          <w:sz w:val="24"/>
        </w:rPr>
        <w:t>, classrooms, or clinics</w:t>
      </w:r>
    </w:p>
    <w:p w14:paraId="59A7A506" w14:textId="508C96DA" w:rsidR="00504C84" w:rsidRPr="00F10428" w:rsidRDefault="00504C84" w:rsidP="00F10428">
      <w:pPr>
        <w:pStyle w:val="Heading1"/>
        <w:rPr>
          <w:rFonts w:ascii="Bodoni MT Black" w:hAnsi="Bodoni MT Black"/>
          <w:sz w:val="36"/>
        </w:rPr>
      </w:pPr>
      <w:r w:rsidRPr="00504C84">
        <w:rPr>
          <w:rFonts w:ascii="Bodoni MT Black" w:hAnsi="Bodoni MT Black"/>
          <w:sz w:val="36"/>
        </w:rPr>
        <w:t>Topic Areas</w:t>
      </w:r>
    </w:p>
    <w:p w14:paraId="3EF24A80" w14:textId="12E35032" w:rsidR="00504C84" w:rsidRDefault="00F10428" w:rsidP="00504C84">
      <w:pPr>
        <w:rPr>
          <w:rFonts w:ascii="Garamond" w:hAnsi="Garamond"/>
          <w:sz w:val="24"/>
        </w:rPr>
      </w:pPr>
      <w:r>
        <w:rPr>
          <w:rFonts w:ascii="Garamond" w:hAnsi="Garamond"/>
          <w:noProof/>
          <w:sz w:val="24"/>
        </w:rPr>
        <w:drawing>
          <wp:anchor distT="0" distB="0" distL="114300" distR="114300" simplePos="0" relativeHeight="251670528" behindDoc="0" locked="0" layoutInCell="1" allowOverlap="1" wp14:anchorId="0150AF49" wp14:editId="6824DAD2">
            <wp:simplePos x="0" y="0"/>
            <wp:positionH relativeFrom="margin">
              <wp:posOffset>4107180</wp:posOffset>
            </wp:positionH>
            <wp:positionV relativeFrom="paragraph">
              <wp:posOffset>425450</wp:posOffset>
            </wp:positionV>
            <wp:extent cx="297180" cy="297180"/>
            <wp:effectExtent l="0" t="0" r="7620" b="7620"/>
            <wp:wrapSquare wrapText="bothSides"/>
            <wp:docPr id="7" name="Graphic 7"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Pr>
          <w:rFonts w:ascii="Garamond" w:hAnsi="Garamond"/>
          <w:noProof/>
          <w:sz w:val="24"/>
        </w:rPr>
        <w:drawing>
          <wp:anchor distT="0" distB="0" distL="114300" distR="114300" simplePos="0" relativeHeight="251662336" behindDoc="0" locked="0" layoutInCell="1" allowOverlap="1" wp14:anchorId="162F0EB9" wp14:editId="26C7771D">
            <wp:simplePos x="0" y="0"/>
            <wp:positionH relativeFrom="margin">
              <wp:posOffset>2735580</wp:posOffset>
            </wp:positionH>
            <wp:positionV relativeFrom="paragraph">
              <wp:posOffset>440055</wp:posOffset>
            </wp:positionV>
            <wp:extent cx="297180" cy="297180"/>
            <wp:effectExtent l="0" t="0" r="7620" b="7620"/>
            <wp:wrapSquare wrapText="bothSides"/>
            <wp:docPr id="3" name="Graphic 3"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Pr>
          <w:rFonts w:ascii="Garamond" w:hAnsi="Garamond"/>
          <w:noProof/>
          <w:sz w:val="24"/>
        </w:rPr>
        <w:drawing>
          <wp:anchor distT="0" distB="0" distL="114300" distR="114300" simplePos="0" relativeHeight="251660288" behindDoc="0" locked="0" layoutInCell="1" allowOverlap="1" wp14:anchorId="6482AAD7" wp14:editId="3C4B3B33">
            <wp:simplePos x="0" y="0"/>
            <wp:positionH relativeFrom="margin">
              <wp:posOffset>1546860</wp:posOffset>
            </wp:positionH>
            <wp:positionV relativeFrom="paragraph">
              <wp:posOffset>432435</wp:posOffset>
            </wp:positionV>
            <wp:extent cx="297180" cy="297180"/>
            <wp:effectExtent l="0" t="0" r="7620" b="7620"/>
            <wp:wrapSquare wrapText="bothSides"/>
            <wp:docPr id="2" name="Graphic 2"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sidR="00504C84">
        <w:rPr>
          <w:rFonts w:ascii="Garamond" w:hAnsi="Garamond"/>
          <w:noProof/>
          <w:sz w:val="24"/>
        </w:rPr>
        <w:drawing>
          <wp:anchor distT="0" distB="0" distL="114300" distR="114300" simplePos="0" relativeHeight="251658240" behindDoc="0" locked="0" layoutInCell="1" allowOverlap="1" wp14:anchorId="2A1974A9" wp14:editId="65AD7006">
            <wp:simplePos x="0" y="0"/>
            <wp:positionH relativeFrom="margin">
              <wp:align>left</wp:align>
            </wp:positionH>
            <wp:positionV relativeFrom="paragraph">
              <wp:posOffset>427990</wp:posOffset>
            </wp:positionV>
            <wp:extent cx="297180" cy="297180"/>
            <wp:effectExtent l="0" t="0" r="7620" b="7620"/>
            <wp:wrapSquare wrapText="bothSides"/>
            <wp:docPr id="1" name="Graphic 1"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sidR="00504C84">
        <w:rPr>
          <w:rFonts w:ascii="Garamond" w:hAnsi="Garamond"/>
          <w:sz w:val="24"/>
        </w:rPr>
        <w:t xml:space="preserve">As you </w:t>
      </w:r>
      <w:r>
        <w:rPr>
          <w:rFonts w:ascii="Garamond" w:hAnsi="Garamond"/>
          <w:sz w:val="24"/>
        </w:rPr>
        <w:t>develop</w:t>
      </w:r>
      <w:r w:rsidR="00504C84">
        <w:rPr>
          <w:rFonts w:ascii="Garamond" w:hAnsi="Garamond"/>
          <w:sz w:val="24"/>
        </w:rPr>
        <w:t xml:space="preserve"> your proposal, please consider the following broad topic areas/tracks where your session would best fit</w:t>
      </w:r>
      <w:r>
        <w:rPr>
          <w:rFonts w:ascii="Garamond" w:hAnsi="Garamond"/>
          <w:sz w:val="24"/>
        </w:rPr>
        <w:t>:</w:t>
      </w:r>
    </w:p>
    <w:p w14:paraId="1D8A951D" w14:textId="6B50B958" w:rsidR="00F10428" w:rsidRDefault="00F10428" w:rsidP="00F10428">
      <w:pPr>
        <w:rPr>
          <w:rFonts w:ascii="Garamond" w:hAnsi="Garamond"/>
          <w:sz w:val="24"/>
        </w:rPr>
      </w:pPr>
      <w:r>
        <w:rPr>
          <w:rFonts w:ascii="Garamond" w:hAnsi="Garamond"/>
          <w:noProof/>
          <w:sz w:val="24"/>
        </w:rPr>
        <w:drawing>
          <wp:anchor distT="0" distB="0" distL="114300" distR="114300" simplePos="0" relativeHeight="251668480" behindDoc="0" locked="0" layoutInCell="1" allowOverlap="1" wp14:anchorId="4E1A38AB" wp14:editId="3E4A3CBA">
            <wp:simplePos x="0" y="0"/>
            <wp:positionH relativeFrom="margin">
              <wp:posOffset>1112520</wp:posOffset>
            </wp:positionH>
            <wp:positionV relativeFrom="paragraph">
              <wp:posOffset>262255</wp:posOffset>
            </wp:positionV>
            <wp:extent cx="297180" cy="297180"/>
            <wp:effectExtent l="0" t="0" r="7620" b="7620"/>
            <wp:wrapSquare wrapText="bothSides"/>
            <wp:docPr id="6" name="Graphic 6"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Pr>
          <w:rFonts w:ascii="Garamond" w:hAnsi="Garamond"/>
          <w:noProof/>
          <w:sz w:val="24"/>
        </w:rPr>
        <w:drawing>
          <wp:anchor distT="0" distB="0" distL="114300" distR="114300" simplePos="0" relativeHeight="251666432" behindDoc="0" locked="0" layoutInCell="1" allowOverlap="1" wp14:anchorId="4470D2AB" wp14:editId="0A035A4E">
            <wp:simplePos x="0" y="0"/>
            <wp:positionH relativeFrom="margin">
              <wp:align>left</wp:align>
            </wp:positionH>
            <wp:positionV relativeFrom="paragraph">
              <wp:posOffset>266700</wp:posOffset>
            </wp:positionV>
            <wp:extent cx="297180" cy="297180"/>
            <wp:effectExtent l="0" t="0" r="7620" b="7620"/>
            <wp:wrapSquare wrapText="bothSides"/>
            <wp:docPr id="5" name="Graphic 5" descr="Project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orScree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97180" cy="297180"/>
                    </a:xfrm>
                    <a:prstGeom prst="rect">
                      <a:avLst/>
                    </a:prstGeom>
                  </pic:spPr>
                </pic:pic>
              </a:graphicData>
            </a:graphic>
          </wp:anchor>
        </w:drawing>
      </w:r>
      <w:r w:rsidR="00504C84">
        <w:rPr>
          <w:rFonts w:ascii="Garamond" w:hAnsi="Garamond"/>
          <w:sz w:val="24"/>
        </w:rPr>
        <w:t>Clinical Practice</w:t>
      </w:r>
      <w:r>
        <w:rPr>
          <w:rFonts w:ascii="Garamond" w:hAnsi="Garamond"/>
          <w:sz w:val="24"/>
        </w:rPr>
        <w:tab/>
        <w:t xml:space="preserve"> Educators Public Health    Students      </w:t>
      </w:r>
    </w:p>
    <w:p w14:paraId="1B0BFDC3" w14:textId="7619F645" w:rsidR="00504C84" w:rsidRPr="00504C84" w:rsidRDefault="00F10428" w:rsidP="00F10428">
      <w:pPr>
        <w:rPr>
          <w:rFonts w:ascii="Garamond" w:hAnsi="Garamond"/>
          <w:sz w:val="24"/>
        </w:rPr>
      </w:pPr>
      <w:r>
        <w:rPr>
          <w:rFonts w:ascii="Garamond" w:hAnsi="Garamond"/>
          <w:sz w:val="24"/>
        </w:rPr>
        <w:t xml:space="preserve">Research Professional Development    </w:t>
      </w:r>
    </w:p>
    <w:p w14:paraId="0747BB7F" w14:textId="76D9DDE7" w:rsidR="00121721" w:rsidRDefault="00121721" w:rsidP="00121721"/>
    <w:p w14:paraId="1F22E8FF" w14:textId="54BE6DE5" w:rsidR="00F10428" w:rsidRDefault="00F10428" w:rsidP="00F10428">
      <w:pPr>
        <w:pStyle w:val="Heading1"/>
        <w:rPr>
          <w:rFonts w:ascii="Bodoni MT Black" w:hAnsi="Bodoni MT Black"/>
          <w:sz w:val="36"/>
        </w:rPr>
      </w:pPr>
      <w:r w:rsidRPr="00F10428">
        <w:rPr>
          <w:rFonts w:ascii="Bodoni MT Black" w:hAnsi="Bodoni MT Black"/>
          <w:sz w:val="36"/>
        </w:rPr>
        <w:lastRenderedPageBreak/>
        <w:t>Learning Formats</w:t>
      </w:r>
    </w:p>
    <w:p w14:paraId="288ACFDF" w14:textId="7C1EF9B6" w:rsidR="00F10428" w:rsidRDefault="00F10428" w:rsidP="00F10428">
      <w:pPr>
        <w:rPr>
          <w:rFonts w:ascii="Garamond" w:hAnsi="Garamond"/>
          <w:sz w:val="24"/>
        </w:rPr>
      </w:pPr>
      <w:r>
        <w:rPr>
          <w:rFonts w:ascii="Garamond" w:hAnsi="Garamond"/>
          <w:sz w:val="24"/>
        </w:rPr>
        <w:t xml:space="preserve">Adult learners have different methods and preferences when engaging in self-directed learning; ADHA’s Annual Conference continuing education offerings try to reflect our diverse set of learners. Our learning formats support a range of instructional methods giving attendees more control over setting priorities and choosing the right content, materials, and methods </w:t>
      </w:r>
      <w:r w:rsidR="00125F27">
        <w:rPr>
          <w:rFonts w:ascii="Garamond" w:hAnsi="Garamond"/>
          <w:sz w:val="24"/>
        </w:rPr>
        <w:t>to match their learning styles and objectives.</w:t>
      </w:r>
    </w:p>
    <w:p w14:paraId="4B5EA2BE" w14:textId="161BB5EF" w:rsidR="00125F27" w:rsidRDefault="00125F27" w:rsidP="00125F27">
      <w:pPr>
        <w:pStyle w:val="ListParagraph"/>
        <w:numPr>
          <w:ilvl w:val="0"/>
          <w:numId w:val="4"/>
        </w:numPr>
        <w:rPr>
          <w:rFonts w:ascii="Garamond" w:hAnsi="Garamond"/>
          <w:sz w:val="24"/>
        </w:rPr>
      </w:pPr>
      <w:r>
        <w:rPr>
          <w:rFonts w:ascii="Garamond" w:hAnsi="Garamond"/>
          <w:sz w:val="24"/>
        </w:rPr>
        <w:t>Seminars (60-120 minutes)</w:t>
      </w:r>
    </w:p>
    <w:p w14:paraId="401F448D" w14:textId="6A72C7A7" w:rsidR="00125F27" w:rsidRDefault="00125F27" w:rsidP="00125F27">
      <w:pPr>
        <w:pStyle w:val="ListParagraph"/>
        <w:numPr>
          <w:ilvl w:val="1"/>
          <w:numId w:val="4"/>
        </w:numPr>
        <w:rPr>
          <w:rFonts w:ascii="Garamond" w:hAnsi="Garamond"/>
          <w:sz w:val="24"/>
        </w:rPr>
      </w:pPr>
      <w:r>
        <w:rPr>
          <w:rFonts w:ascii="Garamond" w:hAnsi="Garamond"/>
          <w:sz w:val="24"/>
        </w:rPr>
        <w:t xml:space="preserve">These sessions are more akin to your standard CE lecture where attendees engage mainly through listening. ADHA highly encourages sessions that allow for attendees to interact, either via small group activities during the lecture, through polling, and other collaborative learning exercises. </w:t>
      </w:r>
    </w:p>
    <w:p w14:paraId="506250BF" w14:textId="0A0A6EF7" w:rsidR="00497885" w:rsidRDefault="00497885" w:rsidP="00497885">
      <w:pPr>
        <w:pStyle w:val="ListParagraph"/>
        <w:numPr>
          <w:ilvl w:val="0"/>
          <w:numId w:val="4"/>
        </w:numPr>
        <w:rPr>
          <w:rFonts w:ascii="Garamond" w:hAnsi="Garamond"/>
          <w:sz w:val="24"/>
        </w:rPr>
      </w:pPr>
      <w:r>
        <w:rPr>
          <w:rFonts w:ascii="Garamond" w:hAnsi="Garamond"/>
          <w:sz w:val="24"/>
        </w:rPr>
        <w:t>Hands-on Lab (120 minutes)</w:t>
      </w:r>
    </w:p>
    <w:p w14:paraId="4D4FB5F9" w14:textId="65F20826" w:rsidR="00497885" w:rsidRDefault="00497885" w:rsidP="00497885">
      <w:pPr>
        <w:pStyle w:val="ListParagraph"/>
        <w:numPr>
          <w:ilvl w:val="1"/>
          <w:numId w:val="4"/>
        </w:numPr>
        <w:rPr>
          <w:rFonts w:ascii="Garamond" w:hAnsi="Garamond"/>
          <w:sz w:val="24"/>
        </w:rPr>
      </w:pPr>
      <w:r>
        <w:rPr>
          <w:rFonts w:ascii="Garamond" w:hAnsi="Garamond"/>
          <w:sz w:val="24"/>
        </w:rPr>
        <w:t>What’s better than hearing about a new product, method, or practice? Actually using or applying your knowledge on the spot</w:t>
      </w:r>
      <w:r w:rsidR="004A3757">
        <w:rPr>
          <w:rFonts w:ascii="Garamond" w:hAnsi="Garamond"/>
          <w:sz w:val="24"/>
        </w:rPr>
        <w:t>!</w:t>
      </w:r>
      <w:r>
        <w:rPr>
          <w:rFonts w:ascii="Garamond" w:hAnsi="Garamond"/>
          <w:sz w:val="24"/>
        </w:rPr>
        <w:t xml:space="preserve"> Our hands-on labs are in-depth workshops where attendees are expecting to utilize equipment or practice techniques they can immediately apply in their daily work.</w:t>
      </w:r>
    </w:p>
    <w:p w14:paraId="0E4D8E62" w14:textId="77777777" w:rsidR="00125F27" w:rsidRDefault="00125F27" w:rsidP="00125F27">
      <w:pPr>
        <w:pStyle w:val="ListParagraph"/>
        <w:numPr>
          <w:ilvl w:val="0"/>
          <w:numId w:val="4"/>
        </w:numPr>
        <w:rPr>
          <w:rFonts w:ascii="Garamond" w:hAnsi="Garamond"/>
          <w:sz w:val="24"/>
        </w:rPr>
      </w:pPr>
      <w:r>
        <w:rPr>
          <w:rFonts w:ascii="Garamond" w:hAnsi="Garamond"/>
          <w:sz w:val="24"/>
        </w:rPr>
        <w:t>iRDH-“Inspire” (5-8 minutes)</w:t>
      </w:r>
    </w:p>
    <w:p w14:paraId="74738D84" w14:textId="77777777" w:rsidR="00125F27" w:rsidRDefault="00125F27" w:rsidP="00125F27">
      <w:pPr>
        <w:pStyle w:val="ListParagraph"/>
        <w:numPr>
          <w:ilvl w:val="1"/>
          <w:numId w:val="4"/>
        </w:numPr>
        <w:rPr>
          <w:rFonts w:ascii="Garamond" w:hAnsi="Garamond"/>
          <w:sz w:val="24"/>
        </w:rPr>
      </w:pPr>
      <w:r>
        <w:rPr>
          <w:rFonts w:ascii="Garamond" w:hAnsi="Garamond"/>
          <w:sz w:val="24"/>
        </w:rPr>
        <w:t>Loosely-based on the poetry slam format, these sessions will showcase dental hygienists discussing what inspires them most in their work. No notes are allowed during these sessions, stories must be told, not read.</w:t>
      </w:r>
    </w:p>
    <w:p w14:paraId="5EB5717B" w14:textId="77777777" w:rsidR="00125F27" w:rsidRDefault="00125F27" w:rsidP="00125F27">
      <w:pPr>
        <w:pStyle w:val="ListParagraph"/>
        <w:numPr>
          <w:ilvl w:val="0"/>
          <w:numId w:val="4"/>
        </w:numPr>
        <w:rPr>
          <w:rFonts w:ascii="Garamond" w:hAnsi="Garamond"/>
          <w:sz w:val="24"/>
        </w:rPr>
      </w:pPr>
      <w:r>
        <w:rPr>
          <w:rFonts w:ascii="Garamond" w:hAnsi="Garamond"/>
          <w:sz w:val="24"/>
        </w:rPr>
        <w:t>Flash Sessions (5 minutes)</w:t>
      </w:r>
    </w:p>
    <w:p w14:paraId="5212EF56" w14:textId="4BBA2299" w:rsidR="00125F27" w:rsidRDefault="00497885" w:rsidP="00125F27">
      <w:pPr>
        <w:pStyle w:val="ListParagraph"/>
        <w:numPr>
          <w:ilvl w:val="1"/>
          <w:numId w:val="4"/>
        </w:numPr>
        <w:rPr>
          <w:rFonts w:ascii="Garamond" w:hAnsi="Garamond"/>
          <w:sz w:val="24"/>
        </w:rPr>
      </w:pPr>
      <w:r>
        <w:rPr>
          <w:rFonts w:ascii="Garamond" w:hAnsi="Garamond"/>
          <w:sz w:val="24"/>
        </w:rPr>
        <w:t>If you only have 5 minutes to get your game changing idea out there, how would you tell your story? What is going on in your office, department, or clinic that is different, new, or exciting? You’ll have 5 minutes to share your exciting idea or experience with others!</w:t>
      </w:r>
    </w:p>
    <w:p w14:paraId="3ECE1CB3" w14:textId="4B9F2D55" w:rsidR="00497885" w:rsidRDefault="00497885" w:rsidP="00497885">
      <w:pPr>
        <w:pStyle w:val="ListParagraph"/>
        <w:numPr>
          <w:ilvl w:val="0"/>
          <w:numId w:val="4"/>
        </w:numPr>
        <w:rPr>
          <w:rFonts w:ascii="Garamond" w:hAnsi="Garamond"/>
          <w:sz w:val="24"/>
        </w:rPr>
      </w:pPr>
      <w:bookmarkStart w:id="1" w:name="_Hlk7682180"/>
      <w:r>
        <w:rPr>
          <w:rFonts w:ascii="Garamond" w:hAnsi="Garamond"/>
          <w:sz w:val="24"/>
        </w:rPr>
        <w:t>Researcher’s Corner (30 minutes)</w:t>
      </w:r>
    </w:p>
    <w:p w14:paraId="349AF44A" w14:textId="10896ECE" w:rsidR="00497885" w:rsidRDefault="00497885" w:rsidP="00497885">
      <w:pPr>
        <w:pStyle w:val="ListParagraph"/>
        <w:numPr>
          <w:ilvl w:val="1"/>
          <w:numId w:val="4"/>
        </w:numPr>
        <w:rPr>
          <w:rFonts w:ascii="Garamond" w:hAnsi="Garamond"/>
          <w:sz w:val="24"/>
        </w:rPr>
      </w:pPr>
      <w:r>
        <w:rPr>
          <w:rFonts w:ascii="Garamond" w:hAnsi="Garamond"/>
          <w:sz w:val="24"/>
        </w:rPr>
        <w:t>What is new in dental hygiene research? You’ve come to the right place to discuss your on-going or recently finished research with other researchers, educators, and clinicians. Discuss your research, the results, and practical applications of your conclusions. This is limited to research in progress or published in the last 12 months. Research must be affiliated with a journal or CODA accredited school</w:t>
      </w:r>
      <w:r w:rsidR="006C31D0">
        <w:rPr>
          <w:rFonts w:ascii="Garamond" w:hAnsi="Garamond"/>
          <w:sz w:val="24"/>
        </w:rPr>
        <w:t xml:space="preserve"> conducting the research.</w:t>
      </w:r>
    </w:p>
    <w:bookmarkEnd w:id="1"/>
    <w:p w14:paraId="32DEEB66" w14:textId="4C599420" w:rsidR="00497885" w:rsidRDefault="00497885" w:rsidP="00497885">
      <w:pPr>
        <w:pStyle w:val="ListParagraph"/>
        <w:numPr>
          <w:ilvl w:val="0"/>
          <w:numId w:val="4"/>
        </w:numPr>
        <w:rPr>
          <w:rFonts w:ascii="Garamond" w:hAnsi="Garamond"/>
          <w:sz w:val="24"/>
        </w:rPr>
      </w:pPr>
      <w:r>
        <w:rPr>
          <w:rFonts w:ascii="Garamond" w:hAnsi="Garamond"/>
          <w:sz w:val="24"/>
        </w:rPr>
        <w:t>Masterclass (Full day)</w:t>
      </w:r>
    </w:p>
    <w:p w14:paraId="23947BE6" w14:textId="59226A76" w:rsidR="00497885" w:rsidRDefault="00497885" w:rsidP="00497885">
      <w:pPr>
        <w:pStyle w:val="ListParagraph"/>
        <w:numPr>
          <w:ilvl w:val="1"/>
          <w:numId w:val="4"/>
        </w:numPr>
        <w:rPr>
          <w:rFonts w:ascii="Garamond" w:hAnsi="Garamond"/>
          <w:sz w:val="24"/>
        </w:rPr>
      </w:pPr>
      <w:r>
        <w:rPr>
          <w:rFonts w:ascii="Garamond" w:hAnsi="Garamond"/>
          <w:sz w:val="24"/>
        </w:rPr>
        <w:t>Are you a trainer or certifier of a technique or practice that dental hygienists need</w:t>
      </w:r>
      <w:r w:rsidR="00120777">
        <w:rPr>
          <w:rFonts w:ascii="Garamond" w:hAnsi="Garamond"/>
          <w:sz w:val="24"/>
        </w:rPr>
        <w:t>? (Examples would include CPR, laser certification, orofacial myofunctional therapy, etc.) This would be the place for you to apply to have your workshop considered for inclusion either before ADHA’s conference or during the conference programming.</w:t>
      </w:r>
    </w:p>
    <w:p w14:paraId="185B0CE2" w14:textId="401ECBAF" w:rsidR="006825D7" w:rsidRDefault="006825D7" w:rsidP="006825D7">
      <w:pPr>
        <w:pStyle w:val="Heading1"/>
        <w:rPr>
          <w:rFonts w:ascii="Bodoni MT Black" w:hAnsi="Bodoni MT Black"/>
          <w:sz w:val="36"/>
        </w:rPr>
      </w:pPr>
      <w:r w:rsidRPr="006825D7">
        <w:rPr>
          <w:rFonts w:ascii="Bodoni MT Black" w:hAnsi="Bodoni MT Black"/>
          <w:sz w:val="36"/>
        </w:rPr>
        <w:t>Knowledge Levels</w:t>
      </w:r>
    </w:p>
    <w:p w14:paraId="7878C5D2" w14:textId="49FA9D60" w:rsidR="006825D7" w:rsidRDefault="006825D7" w:rsidP="006825D7">
      <w:pPr>
        <w:rPr>
          <w:rFonts w:ascii="Garamond" w:hAnsi="Garamond"/>
          <w:sz w:val="24"/>
        </w:rPr>
      </w:pPr>
      <w:r>
        <w:rPr>
          <w:rFonts w:ascii="Garamond" w:hAnsi="Garamond"/>
          <w:sz w:val="24"/>
        </w:rPr>
        <w:t>ADHA has three levels of knowledge relating to the pre-requisite learner knowledge, instructional techniques, and complexity of the learning objectives.</w:t>
      </w:r>
    </w:p>
    <w:p w14:paraId="2E744F15" w14:textId="3F0A9EFD" w:rsidR="006825D7" w:rsidRDefault="006825D7" w:rsidP="006825D7">
      <w:pPr>
        <w:rPr>
          <w:rFonts w:ascii="Garamond" w:hAnsi="Garamond"/>
          <w:sz w:val="24"/>
        </w:rPr>
      </w:pPr>
    </w:p>
    <w:p w14:paraId="158218E5" w14:textId="0FF32F64" w:rsidR="006825D7" w:rsidRDefault="006825D7" w:rsidP="006825D7">
      <w:pPr>
        <w:pStyle w:val="ListParagraph"/>
        <w:numPr>
          <w:ilvl w:val="0"/>
          <w:numId w:val="5"/>
        </w:numPr>
        <w:rPr>
          <w:rFonts w:ascii="Garamond" w:hAnsi="Garamond"/>
          <w:sz w:val="24"/>
        </w:rPr>
      </w:pPr>
      <w:r>
        <w:rPr>
          <w:rFonts w:ascii="Garamond" w:hAnsi="Garamond"/>
          <w:b/>
          <w:sz w:val="24"/>
        </w:rPr>
        <w:t xml:space="preserve">Beginner: </w:t>
      </w:r>
      <w:r>
        <w:rPr>
          <w:rFonts w:ascii="Garamond" w:hAnsi="Garamond"/>
          <w:sz w:val="24"/>
        </w:rPr>
        <w:t>These courses provide broad, introductory information suited to audiences with limited or no knowledge of the subject prior to attendance. This level is appropriate for attendees new to their careers as dental hygienists, for topics that are new</w:t>
      </w:r>
      <w:r w:rsidR="008C6C59">
        <w:rPr>
          <w:rFonts w:ascii="Garamond" w:hAnsi="Garamond"/>
          <w:sz w:val="24"/>
        </w:rPr>
        <w:t xml:space="preserve"> to the field</w:t>
      </w:r>
      <w:r>
        <w:rPr>
          <w:rFonts w:ascii="Garamond" w:hAnsi="Garamond"/>
          <w:sz w:val="24"/>
        </w:rPr>
        <w:t xml:space="preserve"> and a small baseline of understanding already exists in the general dental hygiene population, or for attendees looking to switch career paths (e.g. from clinical office to public health). </w:t>
      </w:r>
    </w:p>
    <w:p w14:paraId="6FDEB204" w14:textId="5E62637B" w:rsidR="006825D7" w:rsidRDefault="006825D7" w:rsidP="006825D7">
      <w:pPr>
        <w:pStyle w:val="ListParagraph"/>
        <w:numPr>
          <w:ilvl w:val="0"/>
          <w:numId w:val="5"/>
        </w:numPr>
        <w:rPr>
          <w:rFonts w:ascii="Garamond" w:hAnsi="Garamond"/>
          <w:sz w:val="24"/>
        </w:rPr>
      </w:pPr>
      <w:r>
        <w:rPr>
          <w:rFonts w:ascii="Garamond" w:hAnsi="Garamond"/>
          <w:b/>
          <w:sz w:val="24"/>
        </w:rPr>
        <w:t>Intermediate:</w:t>
      </w:r>
      <w:r>
        <w:rPr>
          <w:rFonts w:ascii="Garamond" w:hAnsi="Garamond"/>
          <w:sz w:val="24"/>
        </w:rPr>
        <w:t xml:space="preserve"> </w:t>
      </w:r>
      <w:r w:rsidR="001B32BA">
        <w:rPr>
          <w:rFonts w:ascii="Garamond" w:hAnsi="Garamond"/>
          <w:sz w:val="24"/>
        </w:rPr>
        <w:t xml:space="preserve">These courses </w:t>
      </w:r>
      <w:r w:rsidR="00A82740">
        <w:rPr>
          <w:rFonts w:ascii="Garamond" w:hAnsi="Garamond"/>
          <w:sz w:val="24"/>
        </w:rPr>
        <w:t>are more interactive, including case studies and assessment measures, requiring the learner to be more engaged, interacting with the material and using the information in practical applications, thus requiring some prerequisite knowledge. This level is appropriate for attendees who have been practicing in their field for over two years who have established a degree of competence and for those seeking to build on, apply, or enhance existing knowledge.</w:t>
      </w:r>
    </w:p>
    <w:p w14:paraId="7F8F528D" w14:textId="428FBDD3" w:rsidR="00A82740" w:rsidRDefault="00A82740" w:rsidP="006825D7">
      <w:pPr>
        <w:pStyle w:val="ListParagraph"/>
        <w:numPr>
          <w:ilvl w:val="0"/>
          <w:numId w:val="5"/>
        </w:numPr>
        <w:rPr>
          <w:rFonts w:ascii="Garamond" w:hAnsi="Garamond"/>
          <w:sz w:val="24"/>
        </w:rPr>
      </w:pPr>
      <w:r>
        <w:rPr>
          <w:rFonts w:ascii="Garamond" w:hAnsi="Garamond"/>
          <w:b/>
          <w:sz w:val="24"/>
        </w:rPr>
        <w:t xml:space="preserve">Advanced: </w:t>
      </w:r>
      <w:r>
        <w:rPr>
          <w:rFonts w:ascii="Garamond" w:hAnsi="Garamond"/>
          <w:sz w:val="24"/>
        </w:rPr>
        <w:t xml:space="preserve">Courses in this level focus on innovation, massive shifts in practice, new technology, methods, or applications, and highly technical or detailed topics. The course material and activities focus on problem identification, analysis, and solutions, fostering opportunities to explore subjects in an environment of trust. Objectives may include enhancing competence in complex procedures, </w:t>
      </w:r>
      <w:r w:rsidR="000A4D44">
        <w:rPr>
          <w:rFonts w:ascii="Garamond" w:hAnsi="Garamond"/>
          <w:sz w:val="24"/>
        </w:rPr>
        <w:t xml:space="preserve">mastering the use of technology, </w:t>
      </w:r>
      <w:r w:rsidR="00E15275">
        <w:rPr>
          <w:rFonts w:ascii="Garamond" w:hAnsi="Garamond"/>
          <w:sz w:val="24"/>
        </w:rPr>
        <w:t>or preparing attendees to lead the training of others. This level is appropriate for attendees who have been practicing in their field for over five years</w:t>
      </w:r>
      <w:r w:rsidR="006A01B7">
        <w:rPr>
          <w:rFonts w:ascii="Garamond" w:hAnsi="Garamond"/>
          <w:sz w:val="24"/>
        </w:rPr>
        <w:t xml:space="preserve"> with significant expertise, knowledge, and experience who could be deemed an expert in this topic.</w:t>
      </w:r>
    </w:p>
    <w:p w14:paraId="7A7DC537" w14:textId="66324298" w:rsidR="006A01B7" w:rsidRPr="00421F19" w:rsidRDefault="006A01B7" w:rsidP="00421F19">
      <w:pPr>
        <w:pStyle w:val="Heading1"/>
        <w:rPr>
          <w:rFonts w:ascii="Bodoni MT Black" w:hAnsi="Bodoni MT Black"/>
          <w:sz w:val="36"/>
        </w:rPr>
      </w:pPr>
      <w:r w:rsidRPr="006A01B7">
        <w:rPr>
          <w:rFonts w:ascii="Bodoni MT Black" w:hAnsi="Bodoni MT Black"/>
          <w:sz w:val="36"/>
        </w:rPr>
        <w:t>Proposal Process &amp; Selection Criteria</w:t>
      </w:r>
    </w:p>
    <w:p w14:paraId="75784485" w14:textId="449D7059" w:rsidR="00D537DF" w:rsidRPr="00684F4D" w:rsidRDefault="00D537DF" w:rsidP="006A01B7">
      <w:pPr>
        <w:rPr>
          <w:rFonts w:ascii="Garamond" w:hAnsi="Garamond"/>
          <w:sz w:val="24"/>
        </w:rPr>
      </w:pPr>
      <w:r w:rsidRPr="00684F4D">
        <w:rPr>
          <w:rFonts w:ascii="Garamond" w:hAnsi="Garamond"/>
          <w:sz w:val="24"/>
        </w:rPr>
        <w:t>ADHA intends to have the very best</w:t>
      </w:r>
      <w:r w:rsidR="00684F4D" w:rsidRPr="00684F4D">
        <w:rPr>
          <w:rFonts w:ascii="Garamond" w:hAnsi="Garamond"/>
          <w:sz w:val="24"/>
        </w:rPr>
        <w:t xml:space="preserve"> dental hygiene conference on the market, thus we combine the input of peer reviewers and professional staff to ensure the dental hygiene community has a powerful voice in the direction of our conference programming. Together we plan an inclusive opportunity for all current and future ADHA members in the dental hygiene community to participate in excellent formal and informal learning experiences that support patient care, increase individual competencies, and provide opportunities for thoughtful, engaging conversations. </w:t>
      </w:r>
    </w:p>
    <w:p w14:paraId="66EBEFD4" w14:textId="045C8EA2" w:rsidR="00684F4D" w:rsidRPr="00684F4D" w:rsidRDefault="00684F4D" w:rsidP="006A01B7">
      <w:pPr>
        <w:rPr>
          <w:rFonts w:ascii="Garamond" w:hAnsi="Garamond"/>
          <w:sz w:val="24"/>
        </w:rPr>
      </w:pPr>
    </w:p>
    <w:p w14:paraId="6DD87E91" w14:textId="20E5C49C" w:rsidR="00684F4D" w:rsidRPr="00684F4D" w:rsidRDefault="00684F4D" w:rsidP="00684F4D">
      <w:pPr>
        <w:pStyle w:val="ListParagraph"/>
        <w:numPr>
          <w:ilvl w:val="0"/>
          <w:numId w:val="6"/>
        </w:numPr>
        <w:rPr>
          <w:rFonts w:ascii="Garamond" w:hAnsi="Garamond"/>
          <w:sz w:val="24"/>
        </w:rPr>
      </w:pPr>
      <w:r w:rsidRPr="00684F4D">
        <w:rPr>
          <w:rFonts w:ascii="Garamond" w:hAnsi="Garamond"/>
          <w:b/>
          <w:sz w:val="24"/>
        </w:rPr>
        <w:t>Peer Reviewers</w:t>
      </w:r>
    </w:p>
    <w:p w14:paraId="29B465F9" w14:textId="2AD1A896" w:rsidR="00684F4D" w:rsidRDefault="00684F4D" w:rsidP="00684F4D">
      <w:pPr>
        <w:pStyle w:val="ListParagraph"/>
        <w:rPr>
          <w:rFonts w:ascii="Garamond" w:hAnsi="Garamond"/>
          <w:sz w:val="24"/>
        </w:rPr>
      </w:pPr>
      <w:r>
        <w:rPr>
          <w:rFonts w:ascii="Garamond" w:hAnsi="Garamond"/>
          <w:sz w:val="24"/>
        </w:rPr>
        <w:t xml:space="preserve">Members of ADHA are in the best position to inform the association on what attendees want to see at their annual conference, therefore through an open call to membership, ADHA supports an ad hoc CE Peer Review group to act as peer reviewers for all of the submissions we receive. CE Peer Reviewers review sessions that fall into their primary and secondary areas of expertise (clinical, public health, </w:t>
      </w:r>
      <w:r w:rsidR="002F68AE">
        <w:rPr>
          <w:rFonts w:ascii="Garamond" w:hAnsi="Garamond"/>
          <w:sz w:val="24"/>
        </w:rPr>
        <w:t>education, research, professional development). Proposals are evaluated on each of the following criteria:</w:t>
      </w:r>
    </w:p>
    <w:p w14:paraId="483D3AC3" w14:textId="2A422BAC" w:rsidR="002F68AE" w:rsidRDefault="002F68AE" w:rsidP="002F68AE">
      <w:pPr>
        <w:pStyle w:val="ListParagraph"/>
        <w:numPr>
          <w:ilvl w:val="0"/>
          <w:numId w:val="8"/>
        </w:numPr>
        <w:rPr>
          <w:rFonts w:ascii="Garamond" w:hAnsi="Garamond"/>
          <w:sz w:val="24"/>
        </w:rPr>
      </w:pPr>
      <w:r>
        <w:rPr>
          <w:rFonts w:ascii="Garamond" w:hAnsi="Garamond"/>
          <w:sz w:val="24"/>
        </w:rPr>
        <w:t>Originality</w:t>
      </w:r>
    </w:p>
    <w:p w14:paraId="47922C24" w14:textId="7CBD2357" w:rsidR="002F68AE" w:rsidRDefault="002F68AE" w:rsidP="002F68AE">
      <w:pPr>
        <w:pStyle w:val="ListParagraph"/>
        <w:numPr>
          <w:ilvl w:val="0"/>
          <w:numId w:val="8"/>
        </w:numPr>
        <w:rPr>
          <w:rFonts w:ascii="Garamond" w:hAnsi="Garamond"/>
          <w:sz w:val="24"/>
        </w:rPr>
      </w:pPr>
      <w:r>
        <w:rPr>
          <w:rFonts w:ascii="Garamond" w:hAnsi="Garamond"/>
          <w:sz w:val="24"/>
        </w:rPr>
        <w:t>Evidenced-based content</w:t>
      </w:r>
    </w:p>
    <w:p w14:paraId="7F01CB38" w14:textId="357C76B8" w:rsidR="002F68AE" w:rsidRDefault="002F68AE" w:rsidP="002F68AE">
      <w:pPr>
        <w:pStyle w:val="ListParagraph"/>
        <w:numPr>
          <w:ilvl w:val="0"/>
          <w:numId w:val="8"/>
        </w:numPr>
        <w:rPr>
          <w:rFonts w:ascii="Garamond" w:hAnsi="Garamond"/>
          <w:sz w:val="24"/>
        </w:rPr>
      </w:pPr>
      <w:r>
        <w:rPr>
          <w:rFonts w:ascii="Garamond" w:hAnsi="Garamond"/>
          <w:sz w:val="24"/>
        </w:rPr>
        <w:t>Program design</w:t>
      </w:r>
    </w:p>
    <w:p w14:paraId="02E34751" w14:textId="5C6EC3BB" w:rsidR="002F68AE" w:rsidRDefault="002F68AE" w:rsidP="002F68AE">
      <w:pPr>
        <w:pStyle w:val="ListParagraph"/>
        <w:numPr>
          <w:ilvl w:val="0"/>
          <w:numId w:val="8"/>
        </w:numPr>
        <w:rPr>
          <w:rFonts w:ascii="Garamond" w:hAnsi="Garamond"/>
          <w:sz w:val="24"/>
        </w:rPr>
      </w:pPr>
      <w:r>
        <w:rPr>
          <w:rFonts w:ascii="Garamond" w:hAnsi="Garamond"/>
          <w:sz w:val="24"/>
        </w:rPr>
        <w:t>Relevance</w:t>
      </w:r>
    </w:p>
    <w:p w14:paraId="2057B44D" w14:textId="75A4DA19" w:rsidR="002F68AE" w:rsidRDefault="002F68AE" w:rsidP="002F68AE">
      <w:pPr>
        <w:pStyle w:val="ListParagraph"/>
        <w:numPr>
          <w:ilvl w:val="0"/>
          <w:numId w:val="8"/>
        </w:numPr>
        <w:rPr>
          <w:rFonts w:ascii="Garamond" w:hAnsi="Garamond"/>
          <w:sz w:val="24"/>
        </w:rPr>
      </w:pPr>
      <w:r>
        <w:rPr>
          <w:rFonts w:ascii="Garamond" w:hAnsi="Garamond"/>
          <w:sz w:val="24"/>
        </w:rPr>
        <w:t>Overall Quality</w:t>
      </w:r>
    </w:p>
    <w:p w14:paraId="504FF3C2" w14:textId="77777777" w:rsidR="002F68AE" w:rsidRDefault="002F68AE" w:rsidP="002F68AE">
      <w:pPr>
        <w:pStyle w:val="ListParagraph"/>
        <w:ind w:left="1440"/>
        <w:rPr>
          <w:rFonts w:ascii="Garamond" w:hAnsi="Garamond"/>
          <w:sz w:val="24"/>
        </w:rPr>
      </w:pPr>
    </w:p>
    <w:p w14:paraId="48FBF4F0" w14:textId="26C385EE" w:rsidR="002F68AE" w:rsidRPr="002F68AE" w:rsidRDefault="002F68AE" w:rsidP="002F68AE">
      <w:pPr>
        <w:pStyle w:val="ListParagraph"/>
        <w:numPr>
          <w:ilvl w:val="0"/>
          <w:numId w:val="6"/>
        </w:numPr>
        <w:rPr>
          <w:rFonts w:ascii="Garamond" w:hAnsi="Garamond"/>
          <w:sz w:val="24"/>
        </w:rPr>
      </w:pPr>
      <w:r>
        <w:rPr>
          <w:rFonts w:ascii="Garamond" w:hAnsi="Garamond"/>
          <w:b/>
          <w:sz w:val="24"/>
        </w:rPr>
        <w:t>ADHA Staff</w:t>
      </w:r>
    </w:p>
    <w:p w14:paraId="35F5CB8F" w14:textId="36F18D31" w:rsidR="002F68AE" w:rsidRDefault="002F68AE" w:rsidP="002F68AE">
      <w:pPr>
        <w:pStyle w:val="ListParagraph"/>
        <w:rPr>
          <w:rFonts w:ascii="Garamond" w:hAnsi="Garamond"/>
          <w:sz w:val="24"/>
        </w:rPr>
      </w:pPr>
      <w:r>
        <w:rPr>
          <w:rFonts w:ascii="Garamond" w:hAnsi="Garamond"/>
          <w:sz w:val="24"/>
        </w:rPr>
        <w:t xml:space="preserve">ADHA prides itself on having some of the best staff in the association industry, each with unique perspectives and experiences in running high quality conferences. Staff utilize the feedback from the CE Peer Reviewers to </w:t>
      </w:r>
      <w:r w:rsidR="00421F19">
        <w:rPr>
          <w:rFonts w:ascii="Garamond" w:hAnsi="Garamond"/>
          <w:sz w:val="24"/>
        </w:rPr>
        <w:t xml:space="preserve">develop the conference schedule and identify any </w:t>
      </w:r>
      <w:r w:rsidR="00877A36">
        <w:rPr>
          <w:rFonts w:ascii="Garamond" w:hAnsi="Garamond"/>
          <w:sz w:val="24"/>
        </w:rPr>
        <w:t xml:space="preserve">content </w:t>
      </w:r>
      <w:r w:rsidR="00421F19">
        <w:rPr>
          <w:rFonts w:ascii="Garamond" w:hAnsi="Garamond"/>
          <w:sz w:val="24"/>
        </w:rPr>
        <w:t xml:space="preserve">gaps. </w:t>
      </w:r>
    </w:p>
    <w:p w14:paraId="050B9E7E" w14:textId="29CC024B" w:rsidR="0069230A" w:rsidRDefault="0069230A" w:rsidP="002F68AE">
      <w:pPr>
        <w:pStyle w:val="ListParagraph"/>
        <w:rPr>
          <w:rFonts w:ascii="Garamond" w:hAnsi="Garamond"/>
          <w:sz w:val="24"/>
        </w:rPr>
      </w:pPr>
    </w:p>
    <w:p w14:paraId="4F3896E9" w14:textId="613FD6E1" w:rsidR="0069230A" w:rsidRDefault="0069230A" w:rsidP="0069230A">
      <w:pPr>
        <w:pStyle w:val="Heading1"/>
        <w:rPr>
          <w:rFonts w:ascii="Bodoni MT Black" w:hAnsi="Bodoni MT Black"/>
          <w:sz w:val="36"/>
        </w:rPr>
      </w:pPr>
      <w:r w:rsidRPr="0069230A">
        <w:rPr>
          <w:rFonts w:ascii="Bodoni MT Black" w:hAnsi="Bodoni MT Black"/>
          <w:sz w:val="36"/>
        </w:rPr>
        <w:t>Ready to Apply?</w:t>
      </w:r>
    </w:p>
    <w:p w14:paraId="69236827" w14:textId="5DD29475" w:rsidR="0069230A" w:rsidRPr="0069230A" w:rsidRDefault="0069230A" w:rsidP="0069230A">
      <w:pPr>
        <w:rPr>
          <w:rFonts w:ascii="Garamond" w:hAnsi="Garamond"/>
          <w:sz w:val="24"/>
        </w:rPr>
      </w:pPr>
      <w:r w:rsidRPr="0069230A">
        <w:rPr>
          <w:rFonts w:ascii="Garamond" w:hAnsi="Garamond"/>
          <w:sz w:val="24"/>
        </w:rPr>
        <w:t>You’ve read through this entire announcement and you’re now ready to apply, right? Excellent! To add your proposal for consideration at ADHA 2020 in New Orleans, click this link and start the process today!</w:t>
      </w:r>
    </w:p>
    <w:p w14:paraId="1C5DBEE1" w14:textId="77777777" w:rsidR="002F68AE" w:rsidRPr="002F68AE" w:rsidRDefault="002F68AE" w:rsidP="002F68AE">
      <w:pPr>
        <w:rPr>
          <w:rFonts w:ascii="Garamond" w:hAnsi="Garamond"/>
          <w:sz w:val="24"/>
        </w:rPr>
      </w:pPr>
    </w:p>
    <w:p w14:paraId="13141520" w14:textId="77777777" w:rsidR="00684F4D" w:rsidRPr="00684F4D" w:rsidRDefault="00684F4D" w:rsidP="00684F4D">
      <w:pPr>
        <w:rPr>
          <w:rFonts w:ascii="Garamond" w:hAnsi="Garamond"/>
          <w:sz w:val="24"/>
        </w:rPr>
      </w:pPr>
    </w:p>
    <w:p w14:paraId="58E47451" w14:textId="77777777" w:rsidR="006A01B7" w:rsidRPr="006A01B7" w:rsidRDefault="006A01B7" w:rsidP="006A01B7"/>
    <w:sectPr w:rsidR="006A01B7" w:rsidRPr="006A0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5225D" w14:textId="77777777" w:rsidR="00AC6BE9" w:rsidRDefault="00AC6BE9" w:rsidP="00F10428">
      <w:pPr>
        <w:spacing w:after="0" w:line="240" w:lineRule="auto"/>
      </w:pPr>
      <w:r>
        <w:separator/>
      </w:r>
    </w:p>
  </w:endnote>
  <w:endnote w:type="continuationSeparator" w:id="0">
    <w:p w14:paraId="1E2D7434" w14:textId="77777777" w:rsidR="00AC6BE9" w:rsidRDefault="00AC6BE9" w:rsidP="00F1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6BE1" w14:textId="77777777" w:rsidR="00AC6BE9" w:rsidRDefault="00AC6BE9" w:rsidP="00F10428">
      <w:pPr>
        <w:spacing w:after="0" w:line="240" w:lineRule="auto"/>
      </w:pPr>
      <w:r>
        <w:separator/>
      </w:r>
    </w:p>
  </w:footnote>
  <w:footnote w:type="continuationSeparator" w:id="0">
    <w:p w14:paraId="3AD1743D" w14:textId="77777777" w:rsidR="00AC6BE9" w:rsidRDefault="00AC6BE9" w:rsidP="00F1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012"/>
    <w:multiLevelType w:val="hybridMultilevel"/>
    <w:tmpl w:val="1710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057A"/>
    <w:multiLevelType w:val="hybridMultilevel"/>
    <w:tmpl w:val="84E8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2EC9"/>
    <w:multiLevelType w:val="hybridMultilevel"/>
    <w:tmpl w:val="1564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40CD"/>
    <w:multiLevelType w:val="hybridMultilevel"/>
    <w:tmpl w:val="703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14C36"/>
    <w:multiLevelType w:val="hybridMultilevel"/>
    <w:tmpl w:val="EB0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6B1B"/>
    <w:multiLevelType w:val="hybridMultilevel"/>
    <w:tmpl w:val="94A6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1221FA"/>
    <w:multiLevelType w:val="hybridMultilevel"/>
    <w:tmpl w:val="6CA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36C5D"/>
    <w:multiLevelType w:val="hybridMultilevel"/>
    <w:tmpl w:val="000A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83"/>
    <w:rsid w:val="000A4D44"/>
    <w:rsid w:val="000D7E4D"/>
    <w:rsid w:val="00120777"/>
    <w:rsid w:val="00121721"/>
    <w:rsid w:val="00125F27"/>
    <w:rsid w:val="001B32BA"/>
    <w:rsid w:val="00236AB5"/>
    <w:rsid w:val="002F68AE"/>
    <w:rsid w:val="003712C4"/>
    <w:rsid w:val="00400783"/>
    <w:rsid w:val="00421F19"/>
    <w:rsid w:val="00481009"/>
    <w:rsid w:val="00497885"/>
    <w:rsid w:val="004A3757"/>
    <w:rsid w:val="00504C84"/>
    <w:rsid w:val="00591B57"/>
    <w:rsid w:val="006552C2"/>
    <w:rsid w:val="006825D7"/>
    <w:rsid w:val="00684F4D"/>
    <w:rsid w:val="0069230A"/>
    <w:rsid w:val="006A01B7"/>
    <w:rsid w:val="006C31D0"/>
    <w:rsid w:val="00877A36"/>
    <w:rsid w:val="008C6C59"/>
    <w:rsid w:val="00A32811"/>
    <w:rsid w:val="00A82740"/>
    <w:rsid w:val="00AC6BE9"/>
    <w:rsid w:val="00BE219D"/>
    <w:rsid w:val="00C81284"/>
    <w:rsid w:val="00D537DF"/>
    <w:rsid w:val="00E15275"/>
    <w:rsid w:val="00F1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C4F"/>
  <w15:chartTrackingRefBased/>
  <w15:docId w15:val="{CF7FEEE9-BAE7-45BE-8D13-F8D6F504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7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07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17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21721"/>
    <w:pPr>
      <w:ind w:left="720"/>
      <w:contextualSpacing/>
    </w:pPr>
  </w:style>
  <w:style w:type="paragraph" w:styleId="Header">
    <w:name w:val="header"/>
    <w:basedOn w:val="Normal"/>
    <w:link w:val="HeaderChar"/>
    <w:uiPriority w:val="99"/>
    <w:unhideWhenUsed/>
    <w:rsid w:val="00F1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28"/>
  </w:style>
  <w:style w:type="paragraph" w:styleId="Footer">
    <w:name w:val="footer"/>
    <w:basedOn w:val="Normal"/>
    <w:link w:val="FooterChar"/>
    <w:uiPriority w:val="99"/>
    <w:unhideWhenUsed/>
    <w:rsid w:val="00F1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Legault</dc:creator>
  <cp:keywords/>
  <dc:description/>
  <cp:lastModifiedBy>ScorecardPM</cp:lastModifiedBy>
  <cp:revision>2</cp:revision>
  <dcterms:created xsi:type="dcterms:W3CDTF">2019-05-21T20:40:00Z</dcterms:created>
  <dcterms:modified xsi:type="dcterms:W3CDTF">2019-05-21T20:40:00Z</dcterms:modified>
</cp:coreProperties>
</file>